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6C73A" w14:textId="29F86B91" w:rsidR="00D725A3" w:rsidRPr="00D908FD" w:rsidRDefault="00D908FD" w:rsidP="00D908FD">
      <w:pPr>
        <w:pStyle w:val="BodyText"/>
        <w:jc w:val="center"/>
        <w:rPr>
          <w:rFonts w:cstheme="minorHAnsi"/>
          <w:b/>
          <w:bCs/>
          <w:color w:val="20419A" w:themeColor="text2"/>
        </w:rPr>
      </w:pPr>
      <w:r w:rsidRPr="00D908FD">
        <w:rPr>
          <w:rFonts w:cstheme="minorHAnsi" w:hint="cs"/>
          <w:b/>
          <w:bCs/>
          <w:color w:val="20419A" w:themeColor="text2"/>
        </w:rPr>
        <w:t>Comisión Nacional de Evaluación y Acreditación Universitaria (CONEAU)</w:t>
      </w:r>
      <w:r>
        <w:rPr>
          <w:rFonts w:cstheme="minorHAnsi"/>
          <w:b/>
          <w:bCs/>
          <w:color w:val="20419A" w:themeColor="text2"/>
        </w:rPr>
        <w:t xml:space="preserve"> </w:t>
      </w:r>
      <w:r w:rsidR="00D80D97" w:rsidRPr="00F1669F">
        <w:rPr>
          <w:b/>
          <w:color w:val="20419A" w:themeColor="text2"/>
        </w:rPr>
        <w:t xml:space="preserve">Awarded </w:t>
      </w:r>
      <w:r w:rsidR="002E2297" w:rsidRPr="00F1669F">
        <w:rPr>
          <w:b/>
          <w:color w:val="20419A" w:themeColor="text2"/>
        </w:rPr>
        <w:t xml:space="preserve">WFME </w:t>
      </w:r>
      <w:r w:rsidR="00D80D97" w:rsidRPr="00F1669F">
        <w:rPr>
          <w:b/>
          <w:color w:val="20419A" w:themeColor="text2"/>
        </w:rPr>
        <w:t>Recognition Status</w:t>
      </w:r>
    </w:p>
    <w:p w14:paraId="10C5C55A" w14:textId="77777777" w:rsidR="00D725A3" w:rsidRPr="00F1669F" w:rsidRDefault="00D725A3" w:rsidP="00D725A3">
      <w:pPr>
        <w:jc w:val="center"/>
      </w:pPr>
    </w:p>
    <w:p w14:paraId="03241BFC" w14:textId="0AEDE8A9" w:rsidR="00D725A3" w:rsidRPr="00B07D16" w:rsidRDefault="00D725A3" w:rsidP="00B07D16">
      <w:pPr>
        <w:jc w:val="center"/>
        <w:outlineLvl w:val="0"/>
        <w:rPr>
          <w:rFonts w:ascii="Arial" w:eastAsia="Times New Roman" w:hAnsi="Arial" w:cs="Arial"/>
          <w:b/>
          <w:bCs/>
        </w:rPr>
      </w:pPr>
      <w:r w:rsidRPr="00B07D16">
        <w:rPr>
          <w:rFonts w:ascii="Arial" w:hAnsi="Arial" w:cs="Arial"/>
          <w:b/>
          <w:bCs/>
        </w:rPr>
        <w:t>Press Release</w:t>
      </w:r>
    </w:p>
    <w:p w14:paraId="64035CCE" w14:textId="77777777" w:rsidR="009A6E0C" w:rsidRPr="009A6E0C" w:rsidRDefault="009A6E0C" w:rsidP="009A6E0C">
      <w:pPr>
        <w:jc w:val="center"/>
        <w:outlineLvl w:val="0"/>
        <w:rPr>
          <w:rFonts w:ascii="Arial" w:eastAsia="Times New Roman" w:hAnsi="Arial" w:cs="Arial"/>
          <w:sz w:val="22"/>
          <w:szCs w:val="22"/>
        </w:rPr>
      </w:pPr>
    </w:p>
    <w:p w14:paraId="1B523458" w14:textId="2ED6A3C8" w:rsidR="00D725A3" w:rsidRPr="00801622" w:rsidRDefault="00D908FD" w:rsidP="00B07D16">
      <w:pPr>
        <w:jc w:val="center"/>
        <w:rPr>
          <w:rFonts w:ascii="Arial" w:hAnsi="Arial" w:cs="Arial"/>
        </w:rPr>
      </w:pPr>
      <w:r>
        <w:rPr>
          <w:rFonts w:ascii="Arial" w:hAnsi="Arial" w:cs="Arial"/>
        </w:rPr>
        <w:t>January 2025</w:t>
      </w:r>
    </w:p>
    <w:p w14:paraId="3BAEC460" w14:textId="77777777" w:rsidR="00D725A3" w:rsidRPr="00F1669F" w:rsidRDefault="00D725A3" w:rsidP="00D725A3">
      <w:pPr>
        <w:jc w:val="center"/>
      </w:pPr>
    </w:p>
    <w:p w14:paraId="72BDD83F" w14:textId="150E52B7" w:rsidR="000F6B7B" w:rsidRDefault="00D908FD" w:rsidP="00104941">
      <w:pPr>
        <w:pStyle w:val="Default"/>
        <w:jc w:val="both"/>
        <w:rPr>
          <w:rFonts w:asciiTheme="minorHAnsi" w:hAnsiTheme="minorHAnsi" w:cstheme="minorHAnsi"/>
          <w:sz w:val="22"/>
          <w:szCs w:val="22"/>
        </w:rPr>
      </w:pPr>
      <w:r w:rsidRPr="00D908FD">
        <w:rPr>
          <w:rFonts w:asciiTheme="minorHAnsi" w:hAnsiTheme="minorHAnsi" w:cstheme="minorHAnsi" w:hint="cs"/>
          <w:b/>
          <w:bCs/>
          <w:sz w:val="22"/>
          <w:szCs w:val="22"/>
        </w:rPr>
        <w:t>Comisión Nacional de Evaluación y Acreditación Universitaria (</w:t>
      </w:r>
      <w:hyperlink r:id="rId7" w:history="1">
        <w:r w:rsidRPr="00D908FD">
          <w:rPr>
            <w:rStyle w:val="Hyperlink"/>
            <w:rFonts w:asciiTheme="minorHAnsi" w:hAnsiTheme="minorHAnsi" w:cstheme="minorHAnsi" w:hint="cs"/>
            <w:b/>
            <w:bCs/>
            <w:sz w:val="22"/>
            <w:szCs w:val="22"/>
          </w:rPr>
          <w:t>CONEAU</w:t>
        </w:r>
      </w:hyperlink>
      <w:r w:rsidRPr="00D908FD">
        <w:rPr>
          <w:rFonts w:asciiTheme="minorHAnsi" w:hAnsiTheme="minorHAnsi" w:cstheme="minorHAnsi" w:hint="cs"/>
          <w:b/>
          <w:bCs/>
          <w:sz w:val="22"/>
          <w:szCs w:val="22"/>
        </w:rPr>
        <w:t>)</w:t>
      </w:r>
      <w:r w:rsidRPr="00D908FD">
        <w:rPr>
          <w:rFonts w:asciiTheme="minorHAnsi" w:hAnsiTheme="minorHAnsi" w:cstheme="minorHAnsi" w:hint="cs"/>
          <w:sz w:val="22"/>
          <w:szCs w:val="22"/>
        </w:rPr>
        <w:t> </w:t>
      </w:r>
      <w:r w:rsidR="00CE33DD" w:rsidRPr="00D80D97">
        <w:rPr>
          <w:rFonts w:asciiTheme="minorHAnsi" w:hAnsiTheme="minorHAnsi" w:cstheme="minorHAnsi"/>
          <w:sz w:val="22"/>
          <w:szCs w:val="22"/>
        </w:rPr>
        <w:t>whi</w:t>
      </w:r>
      <w:r w:rsidR="0062435B" w:rsidRPr="00D80D97">
        <w:rPr>
          <w:rFonts w:asciiTheme="minorHAnsi" w:hAnsiTheme="minorHAnsi" w:cstheme="minorHAnsi"/>
          <w:sz w:val="22"/>
          <w:szCs w:val="22"/>
        </w:rPr>
        <w:t>ch</w:t>
      </w:r>
      <w:r w:rsidR="0062435B" w:rsidRPr="00F1669F">
        <w:rPr>
          <w:rFonts w:asciiTheme="minorHAnsi" w:hAnsiTheme="minorHAnsi" w:cstheme="minorHAnsi"/>
          <w:sz w:val="22"/>
          <w:szCs w:val="22"/>
        </w:rPr>
        <w:t xml:space="preserve"> </w:t>
      </w:r>
      <w:r w:rsidR="000F6B7B">
        <w:rPr>
          <w:rFonts w:asciiTheme="minorHAnsi" w:hAnsiTheme="minorHAnsi" w:cstheme="minorHAnsi"/>
          <w:sz w:val="22"/>
          <w:szCs w:val="22"/>
        </w:rPr>
        <w:t>is domiciled</w:t>
      </w:r>
      <w:r w:rsidR="0062435B" w:rsidRPr="00F1669F">
        <w:rPr>
          <w:rFonts w:asciiTheme="minorHAnsi" w:hAnsiTheme="minorHAnsi" w:cstheme="minorHAnsi"/>
          <w:sz w:val="22"/>
          <w:szCs w:val="22"/>
        </w:rPr>
        <w:t xml:space="preserve"> in </w:t>
      </w:r>
      <w:r>
        <w:rPr>
          <w:rFonts w:asciiTheme="minorHAnsi" w:hAnsiTheme="minorHAnsi" w:cstheme="minorHAnsi"/>
          <w:sz w:val="22"/>
          <w:szCs w:val="22"/>
        </w:rPr>
        <w:t>Argentina</w:t>
      </w:r>
      <w:r w:rsidR="00F1669F" w:rsidRPr="00F1669F">
        <w:rPr>
          <w:rFonts w:asciiTheme="minorHAnsi" w:hAnsiTheme="minorHAnsi" w:cstheme="minorHAnsi"/>
          <w:sz w:val="22"/>
          <w:szCs w:val="22"/>
        </w:rPr>
        <w:t xml:space="preserve"> </w:t>
      </w:r>
      <w:r w:rsidR="00294C12" w:rsidRPr="00F1669F">
        <w:rPr>
          <w:rFonts w:asciiTheme="minorHAnsi" w:hAnsiTheme="minorHAnsi" w:cstheme="minorHAnsi"/>
          <w:sz w:val="22"/>
          <w:szCs w:val="22"/>
        </w:rPr>
        <w:t>has</w:t>
      </w:r>
      <w:r w:rsidR="00D725A3" w:rsidRPr="00F1669F">
        <w:rPr>
          <w:rFonts w:asciiTheme="minorHAnsi" w:hAnsiTheme="minorHAnsi" w:cstheme="minorHAnsi"/>
          <w:sz w:val="22"/>
          <w:szCs w:val="22"/>
        </w:rPr>
        <w:t xml:space="preserve"> been awarded Recognition Status by the World Federation for Medical Education (</w:t>
      </w:r>
      <w:hyperlink r:id="rId8" w:history="1">
        <w:r w:rsidR="00D725A3" w:rsidRPr="00F1669F">
          <w:rPr>
            <w:rStyle w:val="Hyperlink"/>
            <w:rFonts w:asciiTheme="minorHAnsi" w:hAnsiTheme="minorHAnsi" w:cstheme="minorHAnsi"/>
            <w:sz w:val="22"/>
            <w:szCs w:val="22"/>
          </w:rPr>
          <w:t>WFME</w:t>
        </w:r>
      </w:hyperlink>
      <w:r w:rsidR="00D725A3" w:rsidRPr="00F1669F">
        <w:rPr>
          <w:rFonts w:asciiTheme="minorHAnsi" w:hAnsiTheme="minorHAnsi" w:cstheme="minorHAnsi"/>
          <w:sz w:val="22"/>
          <w:szCs w:val="22"/>
        </w:rPr>
        <w:t>)</w:t>
      </w:r>
      <w:r w:rsidR="002E2297">
        <w:rPr>
          <w:rFonts w:asciiTheme="minorHAnsi" w:hAnsiTheme="minorHAnsi" w:cstheme="minorHAnsi"/>
          <w:sz w:val="22"/>
          <w:szCs w:val="22"/>
        </w:rPr>
        <w:t xml:space="preserve"> for </w:t>
      </w:r>
      <w:r w:rsidR="004A0A5C">
        <w:rPr>
          <w:rFonts w:asciiTheme="minorHAnsi" w:hAnsiTheme="minorHAnsi" w:cstheme="minorHAnsi"/>
          <w:sz w:val="22"/>
          <w:szCs w:val="22"/>
        </w:rPr>
        <w:t xml:space="preserve">the territory of </w:t>
      </w:r>
      <w:r>
        <w:rPr>
          <w:rFonts w:asciiTheme="minorHAnsi" w:hAnsiTheme="minorHAnsi" w:cstheme="minorHAnsi"/>
          <w:sz w:val="22"/>
          <w:szCs w:val="22"/>
        </w:rPr>
        <w:t>Argentina</w:t>
      </w:r>
      <w:r w:rsidR="002E2297">
        <w:rPr>
          <w:rFonts w:asciiTheme="minorHAnsi" w:hAnsiTheme="minorHAnsi" w:cstheme="minorHAnsi"/>
          <w:sz w:val="22"/>
          <w:szCs w:val="22"/>
        </w:rPr>
        <w:t>.</w:t>
      </w:r>
      <w:r w:rsidR="00D725A3" w:rsidRPr="00F1669F">
        <w:rPr>
          <w:rStyle w:val="BodyTextChar"/>
          <w:rFonts w:asciiTheme="minorHAnsi" w:hAnsiTheme="minorHAnsi" w:cstheme="minorHAnsi"/>
          <w:sz w:val="22"/>
          <w:szCs w:val="22"/>
        </w:rPr>
        <w:t xml:space="preserve"> WFME Recognition Status has been awarded for ten years with immediate effect.</w:t>
      </w:r>
      <w:r w:rsidR="00D725A3" w:rsidRPr="00F1669F">
        <w:rPr>
          <w:rFonts w:asciiTheme="minorHAnsi" w:hAnsiTheme="minorHAnsi" w:cstheme="minorHAnsi"/>
          <w:sz w:val="22"/>
          <w:szCs w:val="22"/>
        </w:rPr>
        <w:t xml:space="preserve"> </w:t>
      </w:r>
    </w:p>
    <w:p w14:paraId="1CF6B56A" w14:textId="29C21DB0" w:rsidR="00CD7A61" w:rsidRPr="00F1669F" w:rsidRDefault="00D908FD" w:rsidP="00CD7A61">
      <w:pPr>
        <w:pStyle w:val="BodyText"/>
        <w:jc w:val="both"/>
      </w:pPr>
      <w:r>
        <w:rPr>
          <w:rFonts w:eastAsiaTheme="minorHAnsi" w:cstheme="minorHAnsi"/>
          <w:lang w:eastAsia="en-GB"/>
        </w:rPr>
        <w:t xml:space="preserve">The </w:t>
      </w:r>
      <w:r w:rsidRPr="00D908FD">
        <w:rPr>
          <w:rFonts w:cstheme="minorHAnsi" w:hint="cs"/>
          <w:b/>
          <w:bCs/>
        </w:rPr>
        <w:t>Comisión Nacional de Evaluación y Acreditación Universitaria (CONEAU)</w:t>
      </w:r>
      <w:r w:rsidRPr="00D908FD">
        <w:rPr>
          <w:rFonts w:cstheme="minorHAnsi" w:hint="cs"/>
        </w:rPr>
        <w:t> </w:t>
      </w:r>
      <w:r w:rsidRPr="00D908FD">
        <w:rPr>
          <w:rFonts w:cstheme="minorHAnsi"/>
        </w:rPr>
        <w:t>is a decentralized body that operates under the jurisdiction of the Ministry of Education of the Nation.</w:t>
      </w:r>
      <w:r>
        <w:rPr>
          <w:rFonts w:cstheme="minorHAnsi"/>
        </w:rPr>
        <w:t xml:space="preserve"> I</w:t>
      </w:r>
      <w:r w:rsidRPr="00D908FD">
        <w:rPr>
          <w:rFonts w:cstheme="minorHAnsi"/>
        </w:rPr>
        <w:t>t was created with the purpose of contributing to the improvement of university education.</w:t>
      </w:r>
      <w:r>
        <w:rPr>
          <w:rFonts w:cstheme="minorHAnsi"/>
        </w:rPr>
        <w:t xml:space="preserve"> I</w:t>
      </w:r>
      <w:r w:rsidRPr="00D908FD">
        <w:rPr>
          <w:rFonts w:cstheme="minorHAnsi"/>
        </w:rPr>
        <w:t>ts institutional mission is to ensure and improve the quality of university courses and institutions operating in the Argentine university system through activities of evaluation and accreditation of the quality of university education.</w:t>
      </w:r>
      <w:r w:rsidR="00CD7A61" w:rsidRPr="00CD7A61">
        <w:rPr>
          <w:rFonts w:eastAsiaTheme="minorHAnsi" w:cstheme="minorHAnsi"/>
          <w:lang w:eastAsia="en-GB"/>
        </w:rPr>
        <w:t xml:space="preserve"> </w:t>
      </w:r>
      <w:r w:rsidR="00CD7A61">
        <w:rPr>
          <w:rFonts w:eastAsiaTheme="minorHAnsi" w:cstheme="minorHAnsi"/>
          <w:lang w:eastAsia="en-GB"/>
        </w:rPr>
        <w:t xml:space="preserve">The </w:t>
      </w:r>
      <w:r w:rsidR="00CD7A61" w:rsidRPr="002E2297">
        <w:t>WFME is satisfied that the accreditation process, post</w:t>
      </w:r>
      <w:r w:rsidR="00CD7A61" w:rsidRPr="00F1669F">
        <w:t>-accreditation monitoring and decision making by</w:t>
      </w:r>
      <w:r w:rsidR="00CD7A61">
        <w:t xml:space="preserve"> the CONEAU</w:t>
      </w:r>
      <w:r w:rsidR="00CD7A61" w:rsidRPr="00E83622">
        <w:rPr>
          <w:rFonts w:eastAsiaTheme="minorHAnsi" w:cstheme="minorHAnsi"/>
          <w:lang w:eastAsia="en-GB"/>
        </w:rPr>
        <w:t xml:space="preserve"> </w:t>
      </w:r>
      <w:r w:rsidR="00CD7A61" w:rsidRPr="00F1669F">
        <w:t xml:space="preserve">when it accredits medical schools and faculties is to an appropriate and rigorous standard. </w:t>
      </w:r>
    </w:p>
    <w:p w14:paraId="549FE0BC" w14:textId="2F1E7881" w:rsidR="00D725A3" w:rsidRPr="00F1669F" w:rsidRDefault="00D725A3" w:rsidP="00D725A3">
      <w:pPr>
        <w:pStyle w:val="BodyText"/>
        <w:jc w:val="both"/>
      </w:pPr>
      <w:r w:rsidRPr="00F1669F">
        <w:t xml:space="preserve">The </w:t>
      </w:r>
      <w:hyperlink r:id="rId9" w:history="1">
        <w:r w:rsidRPr="00F1669F">
          <w:rPr>
            <w:rStyle w:val="Hyperlink"/>
          </w:rPr>
          <w:t>WFME Recognition Programme</w:t>
        </w:r>
      </w:hyperlink>
      <w:r w:rsidRPr="00F1669F">
        <w:t xml:space="preserve"> follows the same principles as a medical school accreditation system: evaluation of documentation, </w:t>
      </w:r>
      <w:r w:rsidR="00B81FDF" w:rsidRPr="00F1669F">
        <w:t>policies,</w:t>
      </w:r>
      <w:r w:rsidRPr="00F1669F">
        <w:t xml:space="preserve"> and procedures; a site visit; and a decision taken by an independent committee with reference to pre-defined criteria. </w:t>
      </w:r>
    </w:p>
    <w:p w14:paraId="7FCAFCF6" w14:textId="07DB9812" w:rsidR="009A6E0C" w:rsidRPr="004713CB" w:rsidRDefault="00D725A3" w:rsidP="00D725A3">
      <w:pPr>
        <w:pStyle w:val="BodyText"/>
        <w:jc w:val="both"/>
      </w:pPr>
      <w:r w:rsidRPr="00F1669F">
        <w:t xml:space="preserve">The WFME Recognition Programme aims to raise the standards of medical education worldwide, through ensuring that national and regional accrediting agencies are acting in an appropriate, </w:t>
      </w:r>
      <w:r w:rsidR="002D14E0" w:rsidRPr="00F1669F">
        <w:t>robust,</w:t>
      </w:r>
      <w:r w:rsidRPr="00F1669F">
        <w:t xml:space="preserve"> </w:t>
      </w:r>
      <w:r w:rsidRPr="004713CB">
        <w:t xml:space="preserve">and transparent way. The intention is for all eligible accrediting agencies to be evaluated by WFME or to an equivalent standard. </w:t>
      </w:r>
    </w:p>
    <w:p w14:paraId="17693DA3" w14:textId="7E19F637" w:rsidR="004E1B42" w:rsidRPr="00F1669F" w:rsidRDefault="00D725A3" w:rsidP="00D725A3">
      <w:pPr>
        <w:pStyle w:val="BodyText"/>
        <w:jc w:val="both"/>
      </w:pPr>
      <w:r w:rsidRPr="004713CB">
        <w:t xml:space="preserve">There are </w:t>
      </w:r>
      <w:r w:rsidR="00A30A1D" w:rsidRPr="004713CB">
        <w:t xml:space="preserve">about </w:t>
      </w:r>
      <w:r w:rsidRPr="004713CB">
        <w:t>120 organisations listed in the Directory of Organizations that Recognize/Accredit Medical Schools (</w:t>
      </w:r>
      <w:hyperlink r:id="rId10" w:history="1">
        <w:r w:rsidRPr="004713CB">
          <w:rPr>
            <w:rStyle w:val="Hyperlink"/>
          </w:rPr>
          <w:t>DORA</w:t>
        </w:r>
      </w:hyperlink>
      <w:r w:rsidRPr="004713CB">
        <w:t xml:space="preserve">). </w:t>
      </w:r>
      <w:r w:rsidR="00D80D97" w:rsidRPr="004713CB">
        <w:t>Forty-</w:t>
      </w:r>
      <w:r w:rsidR="005F2284" w:rsidRPr="004713CB">
        <w:t>nine</w:t>
      </w:r>
      <w:r w:rsidR="000E4408" w:rsidRPr="004713CB">
        <w:t xml:space="preserve"> </w:t>
      </w:r>
      <w:r w:rsidRPr="004713CB">
        <w:t xml:space="preserve">accrediting agencies have been recognised by WFME to date, and a further </w:t>
      </w:r>
      <w:r w:rsidR="006E2F4C" w:rsidRPr="004713CB">
        <w:t>9</w:t>
      </w:r>
      <w:r w:rsidR="000E4408" w:rsidRPr="004713CB">
        <w:t xml:space="preserve"> </w:t>
      </w:r>
      <w:r w:rsidRPr="004713CB">
        <w:t xml:space="preserve">have formally commenced the process. A further </w:t>
      </w:r>
      <w:r w:rsidR="00104941" w:rsidRPr="004713CB">
        <w:t>10</w:t>
      </w:r>
      <w:r w:rsidR="00FB5B83" w:rsidRPr="004713CB">
        <w:t> </w:t>
      </w:r>
      <w:r w:rsidRPr="004713CB">
        <w:t>organisations are in communication with WFME regarding their application.</w:t>
      </w:r>
    </w:p>
    <w:p w14:paraId="147D7832" w14:textId="6B4166EF" w:rsidR="00220FDA" w:rsidRPr="00F1669F" w:rsidRDefault="00D725A3" w:rsidP="00D725A3">
      <w:pPr>
        <w:pStyle w:val="BodyText"/>
        <w:jc w:val="both"/>
      </w:pPr>
      <w:r w:rsidRPr="00F1669F">
        <w:t xml:space="preserve"> </w:t>
      </w:r>
      <w:r w:rsidR="00220FDA" w:rsidRPr="00F1669F">
        <w:br w:type="page"/>
      </w:r>
    </w:p>
    <w:p w14:paraId="221C1327" w14:textId="77777777" w:rsidR="00D725A3" w:rsidRPr="00F1669F" w:rsidRDefault="00D725A3" w:rsidP="00D725A3">
      <w:pPr>
        <w:pStyle w:val="NoSpacing"/>
        <w:rPr>
          <w:rFonts w:ascii="Arial" w:hAnsi="Arial" w:cs="Arial"/>
          <w:sz w:val="20"/>
          <w:szCs w:val="20"/>
        </w:rPr>
      </w:pPr>
      <w:r w:rsidRPr="00F1669F">
        <w:rPr>
          <w:rFonts w:ascii="Arial" w:hAnsi="Arial" w:cs="Arial"/>
          <w:sz w:val="20"/>
          <w:szCs w:val="20"/>
          <w:shd w:val="clear" w:color="auto" w:fill="FFFFFF"/>
        </w:rPr>
        <w:lastRenderedPageBreak/>
        <w:t>Notes to editors:</w:t>
      </w:r>
      <w:r w:rsidRPr="00F1669F">
        <w:rPr>
          <w:rStyle w:val="apple-converted-space"/>
          <w:rFonts w:ascii="Arial" w:eastAsia="Times New Roman" w:hAnsi="Arial" w:cs="Arial"/>
          <w:color w:val="000000"/>
          <w:sz w:val="20"/>
          <w:szCs w:val="20"/>
          <w:shd w:val="clear" w:color="auto" w:fill="FFFFFF"/>
        </w:rPr>
        <w:t> </w:t>
      </w:r>
      <w:r w:rsidRPr="00F1669F">
        <w:rPr>
          <w:rFonts w:ascii="Arial" w:hAnsi="Arial" w:cs="Arial"/>
          <w:sz w:val="20"/>
          <w:szCs w:val="20"/>
        </w:rPr>
        <w:br/>
      </w:r>
    </w:p>
    <w:p w14:paraId="2A178634" w14:textId="18492437" w:rsidR="00D725A3" w:rsidRPr="00F1669F" w:rsidRDefault="00D725A3" w:rsidP="00D725A3">
      <w:pPr>
        <w:pStyle w:val="NoSpacing"/>
        <w:numPr>
          <w:ilvl w:val="0"/>
          <w:numId w:val="20"/>
        </w:numPr>
        <w:rPr>
          <w:rFonts w:ascii="Arial" w:hAnsi="Arial" w:cs="Arial"/>
          <w:sz w:val="20"/>
          <w:szCs w:val="20"/>
        </w:rPr>
      </w:pPr>
      <w:r w:rsidRPr="00F1669F">
        <w:rPr>
          <w:rFonts w:ascii="Arial" w:hAnsi="Arial" w:cs="Arial"/>
          <w:sz w:val="20"/>
          <w:szCs w:val="20"/>
        </w:rPr>
        <w:t xml:space="preserve">The World Federation for Medical Education (WFME) is the </w:t>
      </w:r>
      <w:r w:rsidR="00326F05">
        <w:rPr>
          <w:rFonts w:ascii="Arial" w:hAnsi="Arial" w:cs="Arial"/>
          <w:sz w:val="20"/>
          <w:szCs w:val="20"/>
        </w:rPr>
        <w:t>n</w:t>
      </w:r>
      <w:r w:rsidRPr="00F1669F">
        <w:rPr>
          <w:rFonts w:ascii="Arial" w:hAnsi="Arial" w:cs="Arial"/>
          <w:sz w:val="20"/>
          <w:szCs w:val="20"/>
        </w:rPr>
        <w:t>on-</w:t>
      </w:r>
      <w:r w:rsidR="00326F05">
        <w:rPr>
          <w:rFonts w:ascii="Arial" w:hAnsi="Arial" w:cs="Arial"/>
          <w:sz w:val="20"/>
          <w:szCs w:val="20"/>
        </w:rPr>
        <w:t>g</w:t>
      </w:r>
      <w:r w:rsidRPr="00F1669F">
        <w:rPr>
          <w:rFonts w:ascii="Arial" w:hAnsi="Arial" w:cs="Arial"/>
          <w:sz w:val="20"/>
          <w:szCs w:val="20"/>
        </w:rPr>
        <w:t xml:space="preserve">overnmental </w:t>
      </w:r>
      <w:r w:rsidR="00326F05">
        <w:rPr>
          <w:rFonts w:ascii="Arial" w:hAnsi="Arial" w:cs="Arial"/>
          <w:sz w:val="20"/>
          <w:szCs w:val="20"/>
        </w:rPr>
        <w:t>o</w:t>
      </w:r>
      <w:r w:rsidRPr="00F1669F">
        <w:rPr>
          <w:rFonts w:ascii="Arial" w:hAnsi="Arial" w:cs="Arial"/>
          <w:sz w:val="20"/>
          <w:szCs w:val="20"/>
        </w:rPr>
        <w:t>rganisation (NGO) in official relation with the World Health Organization</w:t>
      </w:r>
      <w:r w:rsidR="00596B3F">
        <w:rPr>
          <w:rFonts w:ascii="Arial" w:hAnsi="Arial" w:cs="Arial"/>
          <w:sz w:val="20"/>
          <w:szCs w:val="20"/>
        </w:rPr>
        <w:t>,</w:t>
      </w:r>
      <w:r w:rsidRPr="00F1669F">
        <w:rPr>
          <w:rFonts w:ascii="Arial" w:hAnsi="Arial" w:cs="Arial"/>
          <w:sz w:val="20"/>
          <w:szCs w:val="20"/>
        </w:rPr>
        <w:t xml:space="preserve"> representing medical education and medical schools worldwide.</w:t>
      </w:r>
    </w:p>
    <w:p w14:paraId="638433DB" w14:textId="77777777" w:rsidR="00D725A3" w:rsidRPr="00F1669F" w:rsidRDefault="00D725A3" w:rsidP="00D725A3">
      <w:pPr>
        <w:pStyle w:val="NoSpacing"/>
        <w:rPr>
          <w:rFonts w:ascii="Arial" w:hAnsi="Arial" w:cs="Arial"/>
          <w:sz w:val="20"/>
          <w:szCs w:val="20"/>
        </w:rPr>
      </w:pPr>
    </w:p>
    <w:p w14:paraId="61C656E3" w14:textId="7D6FDBF4" w:rsidR="00D725A3" w:rsidRPr="00F1669F" w:rsidRDefault="00D725A3" w:rsidP="00D725A3">
      <w:pPr>
        <w:pStyle w:val="ListParagraph"/>
        <w:numPr>
          <w:ilvl w:val="0"/>
          <w:numId w:val="20"/>
        </w:numPr>
        <w:jc w:val="both"/>
        <w:rPr>
          <w:rFonts w:ascii="Arial" w:hAnsi="Arial" w:cs="Arial"/>
          <w:sz w:val="20"/>
          <w:szCs w:val="20"/>
        </w:rPr>
      </w:pPr>
      <w:r w:rsidRPr="00F1669F">
        <w:rPr>
          <w:rFonts w:ascii="Arial" w:hAnsi="Arial" w:cs="Arial"/>
          <w:sz w:val="20"/>
          <w:szCs w:val="20"/>
        </w:rPr>
        <w:t xml:space="preserve">WFME was established in 1972. It works in partnership with its six Regional Associations for Medical Education, the World Health Organization, the World Medical </w:t>
      </w:r>
      <w:r w:rsidR="00596B3F" w:rsidRPr="00F1669F">
        <w:rPr>
          <w:rFonts w:ascii="Arial" w:hAnsi="Arial" w:cs="Arial"/>
          <w:sz w:val="20"/>
          <w:szCs w:val="20"/>
        </w:rPr>
        <w:t>Association,</w:t>
      </w:r>
      <w:r w:rsidRPr="00F1669F">
        <w:rPr>
          <w:rFonts w:ascii="Arial" w:hAnsi="Arial" w:cs="Arial"/>
          <w:sz w:val="20"/>
          <w:szCs w:val="20"/>
        </w:rPr>
        <w:t xml:space="preserve"> and other global professional organisations to enhance the quality of medical education through delivery of its work programme, including:</w:t>
      </w:r>
    </w:p>
    <w:p w14:paraId="110025BF" w14:textId="77777777" w:rsidR="00D725A3" w:rsidRPr="00F1669F" w:rsidRDefault="00D725A3" w:rsidP="00D725A3">
      <w:pPr>
        <w:pStyle w:val="ListParagraph"/>
        <w:numPr>
          <w:ilvl w:val="0"/>
          <w:numId w:val="21"/>
        </w:numPr>
        <w:jc w:val="both"/>
        <w:rPr>
          <w:rFonts w:ascii="Arial" w:hAnsi="Arial" w:cs="Arial"/>
          <w:sz w:val="20"/>
          <w:szCs w:val="20"/>
        </w:rPr>
      </w:pPr>
      <w:r w:rsidRPr="00F1669F">
        <w:rPr>
          <w:rFonts w:ascii="Arial" w:hAnsi="Arial" w:cs="Arial"/>
          <w:sz w:val="20"/>
          <w:szCs w:val="20"/>
        </w:rPr>
        <w:t>Development of standards for medical education</w:t>
      </w:r>
    </w:p>
    <w:p w14:paraId="4DB4DDB6" w14:textId="77777777" w:rsidR="00D725A3" w:rsidRPr="00F1669F" w:rsidRDefault="00D725A3" w:rsidP="00D725A3">
      <w:pPr>
        <w:pStyle w:val="ListParagraph"/>
        <w:numPr>
          <w:ilvl w:val="0"/>
          <w:numId w:val="21"/>
        </w:numPr>
        <w:jc w:val="both"/>
        <w:rPr>
          <w:rFonts w:ascii="Arial" w:hAnsi="Arial" w:cs="Arial"/>
          <w:sz w:val="20"/>
          <w:szCs w:val="20"/>
        </w:rPr>
      </w:pPr>
      <w:r w:rsidRPr="00F1669F">
        <w:rPr>
          <w:rFonts w:ascii="Arial" w:hAnsi="Arial" w:cs="Arial"/>
          <w:sz w:val="20"/>
          <w:szCs w:val="20"/>
        </w:rPr>
        <w:t>Promotion of accreditation of medical schools</w:t>
      </w:r>
    </w:p>
    <w:p w14:paraId="2EAA7A57" w14:textId="7B5C24CB" w:rsidR="00D725A3" w:rsidRPr="00F1669F" w:rsidRDefault="00D725A3" w:rsidP="00D725A3">
      <w:pPr>
        <w:pStyle w:val="ListParagraph"/>
        <w:numPr>
          <w:ilvl w:val="0"/>
          <w:numId w:val="21"/>
        </w:numPr>
        <w:jc w:val="both"/>
        <w:rPr>
          <w:rFonts w:ascii="Arial" w:hAnsi="Arial" w:cs="Arial"/>
          <w:sz w:val="20"/>
          <w:szCs w:val="20"/>
        </w:rPr>
      </w:pPr>
      <w:r w:rsidRPr="00F1669F">
        <w:rPr>
          <w:rFonts w:ascii="Arial" w:hAnsi="Arial" w:cs="Arial"/>
          <w:sz w:val="20"/>
          <w:szCs w:val="20"/>
        </w:rPr>
        <w:t xml:space="preserve">Management of the </w:t>
      </w:r>
      <w:r w:rsidRPr="00F1669F">
        <w:rPr>
          <w:rFonts w:ascii="Arial" w:hAnsi="Arial" w:cs="Arial"/>
          <w:i/>
          <w:sz w:val="20"/>
          <w:szCs w:val="20"/>
        </w:rPr>
        <w:t>World Directory of Medical Schools</w:t>
      </w:r>
      <w:r w:rsidRPr="00F1669F">
        <w:rPr>
          <w:rFonts w:ascii="Arial" w:hAnsi="Arial" w:cs="Arial"/>
          <w:sz w:val="20"/>
          <w:szCs w:val="20"/>
        </w:rPr>
        <w:t>, jointly with FAIMER</w:t>
      </w:r>
      <w:r w:rsidR="00490ABD">
        <w:rPr>
          <w:rFonts w:ascii="Arial" w:hAnsi="Arial" w:cs="Arial"/>
          <w:sz w:val="20"/>
          <w:szCs w:val="20"/>
        </w:rPr>
        <w:t>, a member of Intealth.</w:t>
      </w:r>
    </w:p>
    <w:p w14:paraId="5D2432AC" w14:textId="77777777" w:rsidR="00D725A3" w:rsidRPr="00F1669F" w:rsidRDefault="00D725A3" w:rsidP="00D725A3">
      <w:pPr>
        <w:pStyle w:val="ListParagraph"/>
        <w:jc w:val="both"/>
        <w:rPr>
          <w:rFonts w:ascii="Arial" w:hAnsi="Arial" w:cs="Arial"/>
          <w:sz w:val="20"/>
          <w:szCs w:val="20"/>
        </w:rPr>
      </w:pPr>
      <w:r w:rsidRPr="00F1669F">
        <w:rPr>
          <w:rFonts w:ascii="Arial" w:hAnsi="Arial" w:cs="Arial"/>
          <w:sz w:val="20"/>
          <w:szCs w:val="20"/>
        </w:rPr>
        <w:t xml:space="preserve">For further information please see </w:t>
      </w:r>
      <w:hyperlink r:id="rId11" w:history="1">
        <w:r w:rsidRPr="00F1669F">
          <w:rPr>
            <w:rStyle w:val="Hyperlink"/>
            <w:rFonts w:ascii="Arial" w:hAnsi="Arial" w:cs="Arial"/>
            <w:sz w:val="20"/>
            <w:szCs w:val="20"/>
          </w:rPr>
          <w:t>www.wfme.org</w:t>
        </w:r>
      </w:hyperlink>
      <w:r w:rsidRPr="00F1669F">
        <w:rPr>
          <w:rFonts w:ascii="Arial" w:hAnsi="Arial" w:cs="Arial"/>
          <w:sz w:val="20"/>
          <w:szCs w:val="20"/>
        </w:rPr>
        <w:t>.</w:t>
      </w:r>
    </w:p>
    <w:p w14:paraId="50B8CCDF" w14:textId="77777777" w:rsidR="00D725A3" w:rsidRPr="00F1669F" w:rsidRDefault="00D725A3" w:rsidP="00D725A3">
      <w:pPr>
        <w:pStyle w:val="ListParagraph"/>
        <w:jc w:val="both"/>
        <w:rPr>
          <w:rFonts w:ascii="Arial" w:hAnsi="Arial" w:cs="Arial"/>
          <w:sz w:val="20"/>
          <w:szCs w:val="20"/>
        </w:rPr>
      </w:pPr>
    </w:p>
    <w:p w14:paraId="5C985F6D" w14:textId="7C8842BC" w:rsidR="00D725A3" w:rsidRPr="00F1669F" w:rsidRDefault="00D725A3" w:rsidP="00D725A3">
      <w:pPr>
        <w:pStyle w:val="ListParagraph"/>
        <w:numPr>
          <w:ilvl w:val="0"/>
          <w:numId w:val="20"/>
        </w:numPr>
        <w:shd w:val="clear" w:color="auto" w:fill="FFFFFF"/>
        <w:jc w:val="both"/>
        <w:rPr>
          <w:rFonts w:ascii="Arial" w:hAnsi="Arial" w:cs="Arial"/>
          <w:sz w:val="20"/>
          <w:szCs w:val="20"/>
        </w:rPr>
      </w:pPr>
      <w:r w:rsidRPr="00F1669F">
        <w:rPr>
          <w:rFonts w:ascii="Arial" w:hAnsi="Arial" w:cs="Arial"/>
          <w:sz w:val="20"/>
          <w:szCs w:val="20"/>
        </w:rPr>
        <w:t>The WFME programme of Recognition of Accrediting Agencies was established following the 2005 WHO-WFME strategic partnership to improve medical education. The programme aims to address the need for a robust and independent system for the evaluation and recognition of accreditation agencies. Detail</w:t>
      </w:r>
      <w:r w:rsidR="00D80D97">
        <w:rPr>
          <w:rFonts w:ascii="Arial" w:hAnsi="Arial" w:cs="Arial"/>
          <w:sz w:val="20"/>
          <w:szCs w:val="20"/>
        </w:rPr>
        <w:t>s</w:t>
      </w:r>
      <w:r w:rsidRPr="00F1669F">
        <w:rPr>
          <w:rFonts w:ascii="Arial" w:hAnsi="Arial" w:cs="Arial"/>
          <w:sz w:val="20"/>
          <w:szCs w:val="20"/>
        </w:rPr>
        <w:t xml:space="preserve"> about the criteria for eligibility and the policies and procedures of the programme are published on </w:t>
      </w:r>
      <w:hyperlink r:id="rId12" w:history="1">
        <w:r w:rsidRPr="00F1669F">
          <w:rPr>
            <w:rStyle w:val="Hyperlink"/>
            <w:rFonts w:ascii="Arial" w:hAnsi="Arial" w:cs="Arial"/>
            <w:sz w:val="20"/>
            <w:szCs w:val="20"/>
          </w:rPr>
          <w:t>www.wfme.org</w:t>
        </w:r>
      </w:hyperlink>
      <w:r w:rsidRPr="00F1669F">
        <w:rPr>
          <w:rFonts w:ascii="Arial" w:hAnsi="Arial" w:cs="Arial"/>
          <w:sz w:val="20"/>
          <w:szCs w:val="20"/>
        </w:rPr>
        <w:t xml:space="preserve">.  </w:t>
      </w:r>
    </w:p>
    <w:p w14:paraId="5C91BF53" w14:textId="77777777" w:rsidR="00D725A3" w:rsidRPr="00F1669F" w:rsidRDefault="00D725A3" w:rsidP="00D725A3">
      <w:pPr>
        <w:pStyle w:val="ListParagraph"/>
        <w:shd w:val="clear" w:color="auto" w:fill="FFFFFF"/>
        <w:jc w:val="both"/>
        <w:rPr>
          <w:rFonts w:ascii="Arial" w:hAnsi="Arial" w:cs="Arial"/>
          <w:sz w:val="20"/>
          <w:szCs w:val="20"/>
        </w:rPr>
      </w:pPr>
    </w:p>
    <w:p w14:paraId="5E65AE1D" w14:textId="77777777" w:rsidR="00D725A3" w:rsidRPr="00F1669F" w:rsidRDefault="00D725A3" w:rsidP="00D725A3">
      <w:pPr>
        <w:pStyle w:val="ListParagraph"/>
        <w:numPr>
          <w:ilvl w:val="0"/>
          <w:numId w:val="20"/>
        </w:numPr>
        <w:shd w:val="clear" w:color="auto" w:fill="FFFFFF"/>
        <w:jc w:val="both"/>
        <w:rPr>
          <w:rFonts w:ascii="Arial" w:hAnsi="Arial" w:cs="Arial"/>
          <w:sz w:val="20"/>
          <w:szCs w:val="20"/>
        </w:rPr>
      </w:pPr>
      <w:r w:rsidRPr="00F1669F">
        <w:rPr>
          <w:rFonts w:ascii="Arial" w:hAnsi="Arial" w:cs="Arial"/>
          <w:sz w:val="20"/>
          <w:szCs w:val="20"/>
        </w:rPr>
        <w:t>The following accrediting agencies have been recognised by WFME:</w:t>
      </w:r>
    </w:p>
    <w:p w14:paraId="01EF07AB" w14:textId="77777777" w:rsidR="00D725A3" w:rsidRPr="00F1669F" w:rsidRDefault="00D725A3" w:rsidP="00D725A3">
      <w:pPr>
        <w:pStyle w:val="ListParagraph"/>
        <w:numPr>
          <w:ilvl w:val="0"/>
          <w:numId w:val="22"/>
        </w:numPr>
        <w:shd w:val="clear" w:color="auto" w:fill="FFFFFF"/>
        <w:jc w:val="both"/>
        <w:rPr>
          <w:rFonts w:ascii="Arial" w:hAnsi="Arial" w:cs="Arial"/>
          <w:sz w:val="20"/>
          <w:szCs w:val="20"/>
        </w:rPr>
      </w:pPr>
      <w:r w:rsidRPr="00F1669F">
        <w:rPr>
          <w:rFonts w:ascii="Arial" w:hAnsi="Arial" w:cs="Arial"/>
          <w:color w:val="000000" w:themeColor="text1"/>
          <w:sz w:val="20"/>
          <w:szCs w:val="20"/>
        </w:rPr>
        <w:t xml:space="preserve">Korean Institute of Medical Education and Evaluation (KIMEE) </w:t>
      </w:r>
      <w:r w:rsidRPr="00F1669F">
        <w:rPr>
          <w:rFonts w:ascii="Arial" w:hAnsi="Arial" w:cs="Arial"/>
          <w:sz w:val="20"/>
          <w:szCs w:val="20"/>
        </w:rPr>
        <w:t>(Republic of Korea) – recognised until September 2026</w:t>
      </w:r>
    </w:p>
    <w:p w14:paraId="50DB5568" w14:textId="584FEDC9" w:rsidR="000720F7" w:rsidRPr="00F1669F" w:rsidRDefault="000720F7" w:rsidP="000720F7">
      <w:pPr>
        <w:pStyle w:val="ListParagraph"/>
        <w:numPr>
          <w:ilvl w:val="0"/>
          <w:numId w:val="22"/>
        </w:numPr>
        <w:shd w:val="clear" w:color="auto" w:fill="FFFFFF"/>
        <w:jc w:val="both"/>
        <w:rPr>
          <w:rFonts w:ascii="Arial" w:hAnsi="Arial" w:cs="Arial"/>
          <w:sz w:val="20"/>
          <w:szCs w:val="20"/>
        </w:rPr>
      </w:pPr>
      <w:r w:rsidRPr="00F1669F">
        <w:rPr>
          <w:rFonts w:ascii="Arial" w:hAnsi="Arial" w:cs="Arial"/>
          <w:color w:val="000000" w:themeColor="text1"/>
          <w:sz w:val="20"/>
          <w:szCs w:val="20"/>
        </w:rPr>
        <w:t>Accreditation Commission on Colleges of Medicine (ACCM) (</w:t>
      </w:r>
      <w:r w:rsidRPr="00F1669F">
        <w:rPr>
          <w:rFonts w:ascii="Arial" w:hAnsi="Arial" w:cs="Arial"/>
          <w:sz w:val="20"/>
          <w:szCs w:val="20"/>
        </w:rPr>
        <w:t>Selected Caribbean countries) – recognised until December 2026</w:t>
      </w:r>
    </w:p>
    <w:p w14:paraId="4A05DE86" w14:textId="77777777" w:rsidR="00D725A3" w:rsidRPr="00F1669F" w:rsidRDefault="00D725A3" w:rsidP="00D725A3">
      <w:pPr>
        <w:pStyle w:val="ListParagraph"/>
        <w:numPr>
          <w:ilvl w:val="0"/>
          <w:numId w:val="22"/>
        </w:numPr>
        <w:shd w:val="clear" w:color="auto" w:fill="FFFFFF"/>
        <w:jc w:val="both"/>
        <w:rPr>
          <w:rFonts w:ascii="Arial" w:hAnsi="Arial" w:cs="Arial"/>
          <w:sz w:val="20"/>
          <w:szCs w:val="20"/>
        </w:rPr>
      </w:pPr>
      <w:r w:rsidRPr="00F1669F">
        <w:rPr>
          <w:rFonts w:ascii="Arial" w:eastAsia="Times New Roman" w:hAnsi="Arial" w:cs="Arial"/>
          <w:color w:val="000000" w:themeColor="text1"/>
          <w:sz w:val="20"/>
          <w:szCs w:val="20"/>
          <w:lang w:eastAsia="en-GB"/>
        </w:rPr>
        <w:t xml:space="preserve">Japan Accreditation Council for Medical Education (JACME) </w:t>
      </w:r>
      <w:r w:rsidRPr="00F1669F">
        <w:rPr>
          <w:rFonts w:ascii="Arial" w:hAnsi="Arial" w:cs="Arial"/>
          <w:sz w:val="20"/>
          <w:szCs w:val="20"/>
        </w:rPr>
        <w:t>(Japan) – recognised until March 2027</w:t>
      </w:r>
    </w:p>
    <w:p w14:paraId="5E368562" w14:textId="77777777" w:rsidR="00D725A3" w:rsidRPr="00F1669F" w:rsidRDefault="00D725A3" w:rsidP="00D725A3">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Australian Medical Council (AMC) (Australia and New Zealand) – recognised until January 2028</w:t>
      </w:r>
    </w:p>
    <w:p w14:paraId="6CA7F51D" w14:textId="77777777" w:rsidR="00D725A3" w:rsidRPr="00F1669F" w:rsidRDefault="00D725A3" w:rsidP="00D725A3">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Independent Agency for Accreditation and Rating (IAAR) (Kazakhstan) – recognised until January 2028</w:t>
      </w:r>
    </w:p>
    <w:p w14:paraId="027344B0" w14:textId="77777777" w:rsidR="00D725A3" w:rsidRPr="00F1669F" w:rsidRDefault="00D725A3" w:rsidP="00D725A3">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Sudan Medical Council (SMC) – recognised until June 2028</w:t>
      </w:r>
    </w:p>
    <w:p w14:paraId="19033FBE" w14:textId="77777777" w:rsidR="006E2F4C" w:rsidRPr="00F1669F" w:rsidRDefault="006E2F4C" w:rsidP="006E2F4C">
      <w:pPr>
        <w:pStyle w:val="ListParagraph"/>
        <w:numPr>
          <w:ilvl w:val="0"/>
          <w:numId w:val="22"/>
        </w:numPr>
        <w:rPr>
          <w:sz w:val="20"/>
          <w:szCs w:val="20"/>
        </w:rPr>
      </w:pPr>
      <w:r w:rsidRPr="00F1669F">
        <w:rPr>
          <w:sz w:val="20"/>
          <w:szCs w:val="20"/>
        </w:rPr>
        <w:t>National Center for Educational Quality Enhancement (NCEQE) (Georgia) – recognised until October 2028</w:t>
      </w:r>
    </w:p>
    <w:p w14:paraId="4C8B8F09" w14:textId="77777777" w:rsidR="006E2F4C" w:rsidRPr="00F1669F" w:rsidRDefault="006E2F4C" w:rsidP="006E2F4C">
      <w:pPr>
        <w:pStyle w:val="BodyText"/>
        <w:numPr>
          <w:ilvl w:val="0"/>
          <w:numId w:val="22"/>
        </w:numPr>
        <w:spacing w:before="0" w:line="240" w:lineRule="auto"/>
        <w:rPr>
          <w:rFonts w:ascii="Arial" w:hAnsi="Arial" w:cs="Arial"/>
          <w:sz w:val="20"/>
          <w:szCs w:val="20"/>
        </w:rPr>
      </w:pPr>
      <w:r w:rsidRPr="00F1669F">
        <w:rPr>
          <w:sz w:val="20"/>
          <w:szCs w:val="20"/>
          <w:shd w:val="clear" w:color="auto" w:fill="FCFCFC"/>
        </w:rPr>
        <w:t>Institute for Medical Education Accreditation (IMEAc) (Thailand) – recognised until October 2028</w:t>
      </w:r>
    </w:p>
    <w:p w14:paraId="4B12E0EF" w14:textId="23069FB1" w:rsidR="000720F7" w:rsidRPr="00F1669F" w:rsidRDefault="000720F7" w:rsidP="000720F7">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Independent Accreditation Body for Health Professional Education (LAM-PTKes) (Indonesia)</w:t>
      </w:r>
      <w:r w:rsidRPr="00F1669F">
        <w:rPr>
          <w:sz w:val="20"/>
          <w:szCs w:val="20"/>
        </w:rPr>
        <w:t xml:space="preserve"> – recognised until October 2028</w:t>
      </w:r>
    </w:p>
    <w:p w14:paraId="43E389EE" w14:textId="2E14D0FD" w:rsidR="007F7842" w:rsidRPr="00F1669F" w:rsidRDefault="007F7842" w:rsidP="0066385B">
      <w:pPr>
        <w:pStyle w:val="ListParagraph"/>
        <w:numPr>
          <w:ilvl w:val="0"/>
          <w:numId w:val="22"/>
        </w:numPr>
      </w:pPr>
      <w:r w:rsidRPr="00F1669F">
        <w:rPr>
          <w:sz w:val="20"/>
          <w:szCs w:val="20"/>
        </w:rPr>
        <w:t>Accreditation Organisation of the Netherlands and Flanders (Nederlands-Vlaamse Accreditatieorganisatie) (NVAO) – recognised until November 2028</w:t>
      </w:r>
    </w:p>
    <w:p w14:paraId="692A8F8B" w14:textId="679DD900" w:rsidR="007F7842" w:rsidRPr="00F1669F" w:rsidRDefault="007F7842" w:rsidP="00DF08F9">
      <w:pPr>
        <w:pStyle w:val="ListParagraph"/>
        <w:numPr>
          <w:ilvl w:val="0"/>
          <w:numId w:val="22"/>
        </w:numPr>
        <w:shd w:val="clear" w:color="auto" w:fill="FFFFFF"/>
        <w:jc w:val="both"/>
        <w:rPr>
          <w:rFonts w:ascii="Arial" w:hAnsi="Arial" w:cs="Arial"/>
          <w:sz w:val="20"/>
          <w:szCs w:val="20"/>
        </w:rPr>
      </w:pPr>
      <w:r w:rsidRPr="00F1669F">
        <w:rPr>
          <w:sz w:val="20"/>
          <w:szCs w:val="20"/>
        </w:rPr>
        <w:t>Mexican Board for Accreditation of Medical Education (Consejo Mexicano para la Acreditación de la Educación Médica (COMAEM) – recognised until April 2029</w:t>
      </w:r>
    </w:p>
    <w:p w14:paraId="5DF68D3D" w14:textId="76946E0F" w:rsidR="007F7842" w:rsidRPr="00F1669F" w:rsidRDefault="007F7842" w:rsidP="007F7842">
      <w:pPr>
        <w:pStyle w:val="ListParagraph"/>
        <w:numPr>
          <w:ilvl w:val="0"/>
          <w:numId w:val="22"/>
        </w:numPr>
        <w:shd w:val="clear" w:color="auto" w:fill="FFFFFF"/>
        <w:jc w:val="both"/>
        <w:rPr>
          <w:rFonts w:ascii="Arial" w:eastAsiaTheme="minorHAnsi" w:hAnsi="Arial" w:cs="Arial"/>
          <w:sz w:val="20"/>
          <w:szCs w:val="20"/>
        </w:rPr>
      </w:pPr>
      <w:r w:rsidRPr="00F1669F">
        <w:rPr>
          <w:rFonts w:ascii="Arial" w:eastAsia="Times New Roman" w:hAnsi="Arial" w:cs="Arial"/>
          <w:color w:val="000000" w:themeColor="text1"/>
          <w:sz w:val="20"/>
          <w:szCs w:val="20"/>
          <w:lang w:eastAsia="en-GB"/>
        </w:rPr>
        <w:t xml:space="preserve">National Authority for Quality Assurance and Accreditation of Education (NAQAAE) (Egypt) </w:t>
      </w:r>
      <w:r w:rsidRPr="00F1669F">
        <w:rPr>
          <w:sz w:val="20"/>
          <w:szCs w:val="20"/>
        </w:rPr>
        <w:t>– recognised until April 2029</w:t>
      </w:r>
    </w:p>
    <w:p w14:paraId="52B90F93" w14:textId="72F4456D" w:rsidR="007F7842" w:rsidRPr="00F1669F" w:rsidRDefault="007F7842" w:rsidP="007F7842">
      <w:pPr>
        <w:pStyle w:val="ListParagraph"/>
        <w:numPr>
          <w:ilvl w:val="0"/>
          <w:numId w:val="22"/>
        </w:numPr>
        <w:rPr>
          <w:rFonts w:eastAsia="Times New Roman"/>
          <w:sz w:val="20"/>
          <w:szCs w:val="20"/>
          <w:lang w:eastAsia="en-GB"/>
        </w:rPr>
      </w:pPr>
      <w:r w:rsidRPr="00F1669F">
        <w:rPr>
          <w:rFonts w:eastAsia="Times New Roman"/>
          <w:sz w:val="20"/>
          <w:szCs w:val="20"/>
        </w:rPr>
        <w:t xml:space="preserve">System of Accreditation of Medical Schools/Sistema de Acreditação de Escolas Médicas (SAEME) </w:t>
      </w:r>
      <w:r w:rsidR="00E45990" w:rsidRPr="00F1669F">
        <w:rPr>
          <w:rFonts w:eastAsia="Times New Roman"/>
          <w:sz w:val="20"/>
          <w:szCs w:val="20"/>
        </w:rPr>
        <w:t xml:space="preserve">(Brazil) </w:t>
      </w:r>
      <w:r w:rsidRPr="00F1669F">
        <w:rPr>
          <w:sz w:val="20"/>
          <w:szCs w:val="20"/>
        </w:rPr>
        <w:t>– recognised until April 2029</w:t>
      </w:r>
    </w:p>
    <w:p w14:paraId="5283FA5C" w14:textId="66B5FBC1" w:rsidR="007F7842" w:rsidRPr="00F1669F" w:rsidRDefault="007F7842" w:rsidP="007F7842">
      <w:pPr>
        <w:pStyle w:val="ListParagraph"/>
        <w:numPr>
          <w:ilvl w:val="0"/>
          <w:numId w:val="22"/>
        </w:numPr>
        <w:shd w:val="clear" w:color="auto" w:fill="FFFFFF"/>
        <w:jc w:val="both"/>
        <w:rPr>
          <w:rFonts w:ascii="Arial" w:eastAsiaTheme="minorHAnsi" w:hAnsi="Arial" w:cs="Arial"/>
          <w:sz w:val="20"/>
          <w:szCs w:val="20"/>
        </w:rPr>
      </w:pPr>
      <w:r w:rsidRPr="00F1669F">
        <w:rPr>
          <w:sz w:val="20"/>
          <w:szCs w:val="20"/>
        </w:rPr>
        <w:t>Taiwan Medical Accreditation Council (TMAC) – recognised until April 2029</w:t>
      </w:r>
    </w:p>
    <w:p w14:paraId="4155D8A1" w14:textId="77777777" w:rsidR="006E2F4C" w:rsidRPr="00F1669F" w:rsidRDefault="006E2F4C" w:rsidP="006E2F4C">
      <w:pPr>
        <w:pStyle w:val="ListParagraph"/>
        <w:numPr>
          <w:ilvl w:val="0"/>
          <w:numId w:val="22"/>
        </w:numPr>
        <w:rPr>
          <w:rFonts w:ascii="Times New Roman" w:eastAsia="Times New Roman" w:hAnsi="Times New Roman" w:cs="Times New Roman"/>
          <w:sz w:val="20"/>
          <w:szCs w:val="20"/>
        </w:rPr>
      </w:pPr>
      <w:r w:rsidRPr="00F1669F">
        <w:rPr>
          <w:rFonts w:ascii="Arial" w:eastAsia="Times New Roman" w:hAnsi="Arial" w:cs="Arial"/>
          <w:color w:val="222222"/>
          <w:sz w:val="20"/>
          <w:szCs w:val="20"/>
          <w:shd w:val="clear" w:color="auto" w:fill="FFFFFF"/>
        </w:rPr>
        <w:t xml:space="preserve">Secretariat of the Council for Undergraduate Medical Education (SCUME) (Iran) </w:t>
      </w:r>
      <w:r w:rsidRPr="00F1669F">
        <w:rPr>
          <w:rFonts w:ascii="Arial" w:hAnsi="Arial" w:cs="Arial"/>
          <w:sz w:val="20"/>
          <w:szCs w:val="20"/>
        </w:rPr>
        <w:t>– recognised until June 2029</w:t>
      </w:r>
    </w:p>
    <w:p w14:paraId="66F5A0E7" w14:textId="2018508C" w:rsidR="00E45990" w:rsidRPr="00F1669F" w:rsidRDefault="00E45990" w:rsidP="00DB5927">
      <w:pPr>
        <w:pStyle w:val="ListParagraph"/>
        <w:numPr>
          <w:ilvl w:val="0"/>
          <w:numId w:val="22"/>
        </w:numPr>
        <w:shd w:val="clear" w:color="auto" w:fill="FFFFFF"/>
        <w:rPr>
          <w:rFonts w:ascii="Arial" w:hAnsi="Arial" w:cs="Arial"/>
          <w:sz w:val="20"/>
          <w:szCs w:val="20"/>
        </w:rPr>
      </w:pPr>
      <w:r w:rsidRPr="00F1669F">
        <w:rPr>
          <w:rFonts w:ascii="Arial" w:hAnsi="Arial" w:cs="Arial"/>
          <w:sz w:val="20"/>
          <w:szCs w:val="20"/>
        </w:rPr>
        <w:t>Commission for Academic Accreditation (CAA) (UAE) – recognised until June 2029</w:t>
      </w:r>
    </w:p>
    <w:p w14:paraId="66C5A589" w14:textId="658A3C22" w:rsidR="005A28FA" w:rsidRPr="00F1669F" w:rsidRDefault="005A28FA" w:rsidP="00E45990">
      <w:pPr>
        <w:pStyle w:val="ListParagraph"/>
        <w:numPr>
          <w:ilvl w:val="0"/>
          <w:numId w:val="22"/>
        </w:numPr>
        <w:rPr>
          <w:rFonts w:eastAsia="Times New Roman" w:cstheme="minorHAnsi"/>
          <w:sz w:val="20"/>
          <w:szCs w:val="20"/>
        </w:rPr>
      </w:pPr>
      <w:r w:rsidRPr="00F1669F">
        <w:rPr>
          <w:rFonts w:eastAsia="Times New Roman" w:cstheme="minorHAnsi"/>
          <w:sz w:val="20"/>
          <w:szCs w:val="20"/>
        </w:rPr>
        <w:t>Cyprus Agency of Quality Assurance and Accreditation in Higher Education (CYQAA) (Cyprus) – recognised until February 20</w:t>
      </w:r>
      <w:r w:rsidR="00A30A1D" w:rsidRPr="00F1669F">
        <w:rPr>
          <w:rFonts w:eastAsia="Times New Roman" w:cstheme="minorHAnsi"/>
          <w:sz w:val="20"/>
          <w:szCs w:val="20"/>
        </w:rPr>
        <w:t>3</w:t>
      </w:r>
      <w:r w:rsidRPr="00F1669F">
        <w:rPr>
          <w:rFonts w:eastAsia="Times New Roman" w:cstheme="minorHAnsi"/>
          <w:sz w:val="20"/>
          <w:szCs w:val="20"/>
        </w:rPr>
        <w:t>0</w:t>
      </w:r>
    </w:p>
    <w:p w14:paraId="11825596" w14:textId="2C7BC65F" w:rsidR="005436CE" w:rsidRPr="00F1669F" w:rsidRDefault="00561218" w:rsidP="00E45990">
      <w:pPr>
        <w:pStyle w:val="ListParagraph"/>
        <w:numPr>
          <w:ilvl w:val="0"/>
          <w:numId w:val="22"/>
        </w:numPr>
        <w:rPr>
          <w:rFonts w:eastAsia="Times New Roman" w:cstheme="minorHAnsi"/>
          <w:sz w:val="20"/>
          <w:szCs w:val="20"/>
        </w:rPr>
      </w:pPr>
      <w:bookmarkStart w:id="0" w:name="_Hlk42074879"/>
      <w:r w:rsidRPr="00F1669F">
        <w:rPr>
          <w:rFonts w:eastAsia="Times New Roman" w:cstheme="minorHAnsi"/>
          <w:sz w:val="20"/>
          <w:szCs w:val="20"/>
        </w:rPr>
        <w:t xml:space="preserve">Working Committee for the Accreditation of Medical Education, Ministry of Education (WCAME) (China) – </w:t>
      </w:r>
      <w:r w:rsidR="00FA4B0A" w:rsidRPr="00F1669F">
        <w:rPr>
          <w:rFonts w:eastAsia="Times New Roman" w:cstheme="minorHAnsi"/>
          <w:sz w:val="20"/>
          <w:szCs w:val="20"/>
        </w:rPr>
        <w:t xml:space="preserve">recognised </w:t>
      </w:r>
      <w:r w:rsidRPr="00F1669F">
        <w:rPr>
          <w:rFonts w:eastAsia="Times New Roman" w:cstheme="minorHAnsi"/>
          <w:sz w:val="20"/>
          <w:szCs w:val="20"/>
        </w:rPr>
        <w:t>until June 2030</w:t>
      </w:r>
    </w:p>
    <w:p w14:paraId="7162B4B5" w14:textId="49015ECF" w:rsidR="004E1B42" w:rsidRPr="00F1669F" w:rsidRDefault="00561218" w:rsidP="00E45990">
      <w:pPr>
        <w:pStyle w:val="ListParagraph"/>
        <w:numPr>
          <w:ilvl w:val="0"/>
          <w:numId w:val="22"/>
        </w:numPr>
        <w:rPr>
          <w:rFonts w:eastAsia="Times New Roman" w:cstheme="minorHAnsi"/>
          <w:sz w:val="20"/>
          <w:szCs w:val="20"/>
        </w:rPr>
      </w:pPr>
      <w:r w:rsidRPr="00F1669F">
        <w:rPr>
          <w:rFonts w:eastAsia="Times New Roman" w:cstheme="minorHAnsi"/>
          <w:sz w:val="20"/>
          <w:szCs w:val="20"/>
        </w:rPr>
        <w:t>Medical Council of Ireland (MCI) (Republic of Ireland) – until June 2030</w:t>
      </w:r>
    </w:p>
    <w:p w14:paraId="66F64E10" w14:textId="3921F934" w:rsidR="005F06C6" w:rsidRPr="00F1669F" w:rsidRDefault="005F06C6" w:rsidP="005F06C6">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 xml:space="preserve">Accreditation and Quality Assurance Commission for Higher Education Institution (AQACHEI) (Jordan) – </w:t>
      </w:r>
      <w:r w:rsidR="00FA4B0A" w:rsidRPr="00F1669F">
        <w:rPr>
          <w:rFonts w:ascii="Arial" w:hAnsi="Arial" w:cs="Arial"/>
          <w:sz w:val="20"/>
          <w:szCs w:val="20"/>
        </w:rPr>
        <w:t xml:space="preserve">recognised </w:t>
      </w:r>
      <w:r w:rsidRPr="00F1669F">
        <w:rPr>
          <w:rFonts w:ascii="Arial" w:hAnsi="Arial" w:cs="Arial"/>
          <w:sz w:val="20"/>
          <w:szCs w:val="20"/>
        </w:rPr>
        <w:t>until September 2031</w:t>
      </w:r>
    </w:p>
    <w:p w14:paraId="549F0B2E" w14:textId="50198079" w:rsidR="005F06C6" w:rsidRPr="00F1669F" w:rsidRDefault="005F06C6" w:rsidP="00E45990">
      <w:pPr>
        <w:pStyle w:val="ListParagraph"/>
        <w:numPr>
          <w:ilvl w:val="0"/>
          <w:numId w:val="22"/>
        </w:numPr>
        <w:rPr>
          <w:rFonts w:eastAsia="Times New Roman" w:cstheme="minorHAnsi"/>
          <w:sz w:val="20"/>
          <w:szCs w:val="20"/>
        </w:rPr>
      </w:pPr>
      <w:r w:rsidRPr="00F1669F">
        <w:rPr>
          <w:rFonts w:eastAsia="Times New Roman" w:cstheme="minorHAnsi"/>
          <w:sz w:val="20"/>
          <w:szCs w:val="20"/>
        </w:rPr>
        <w:lastRenderedPageBreak/>
        <w:t xml:space="preserve">Quality Assurance Agency for Higher Education (AQU) (Catalonia) – </w:t>
      </w:r>
      <w:r w:rsidR="00FA4B0A" w:rsidRPr="00F1669F">
        <w:rPr>
          <w:rFonts w:eastAsia="Times New Roman" w:cstheme="minorHAnsi"/>
          <w:sz w:val="20"/>
          <w:szCs w:val="20"/>
        </w:rPr>
        <w:t xml:space="preserve">recognised </w:t>
      </w:r>
      <w:r w:rsidRPr="00F1669F">
        <w:rPr>
          <w:rFonts w:eastAsia="Times New Roman" w:cstheme="minorHAnsi"/>
          <w:sz w:val="20"/>
          <w:szCs w:val="20"/>
        </w:rPr>
        <w:t>until October 2031</w:t>
      </w:r>
    </w:p>
    <w:p w14:paraId="30B30E58" w14:textId="2CE5432C" w:rsidR="00FA4B0A" w:rsidRPr="00F1669F" w:rsidRDefault="00FA4B0A" w:rsidP="00E45990">
      <w:pPr>
        <w:pStyle w:val="ListParagraph"/>
        <w:numPr>
          <w:ilvl w:val="0"/>
          <w:numId w:val="22"/>
        </w:numPr>
        <w:rPr>
          <w:rFonts w:eastAsia="Times New Roman" w:cstheme="minorHAnsi"/>
          <w:sz w:val="20"/>
          <w:szCs w:val="20"/>
        </w:rPr>
      </w:pPr>
      <w:r w:rsidRPr="00F1669F">
        <w:rPr>
          <w:rFonts w:eastAsia="Times New Roman" w:cstheme="minorHAnsi"/>
          <w:sz w:val="20"/>
          <w:szCs w:val="20"/>
        </w:rPr>
        <w:t>Agency for Accreditation of Educational Programs and Organizations (AAEPO) (Kyrgyzstan) – recognised until March 2032</w:t>
      </w:r>
    </w:p>
    <w:p w14:paraId="0A0C811B" w14:textId="3AFB4E9A" w:rsidR="00FA4B0A" w:rsidRPr="00F1669F" w:rsidRDefault="00FA4B0A" w:rsidP="00E45990">
      <w:pPr>
        <w:pStyle w:val="ListParagraph"/>
        <w:numPr>
          <w:ilvl w:val="0"/>
          <w:numId w:val="22"/>
        </w:numPr>
        <w:rPr>
          <w:rFonts w:eastAsia="Times New Roman" w:cstheme="minorHAnsi"/>
          <w:sz w:val="20"/>
          <w:szCs w:val="20"/>
        </w:rPr>
      </w:pPr>
      <w:r w:rsidRPr="00F1669F">
        <w:rPr>
          <w:rFonts w:eastAsia="Times New Roman" w:cstheme="minorHAnsi"/>
          <w:sz w:val="20"/>
          <w:szCs w:val="20"/>
        </w:rPr>
        <w:t>Hungarian Accreditation Committee (HAC) (Hungary) – recognised until March 2032</w:t>
      </w:r>
    </w:p>
    <w:p w14:paraId="56034D4D" w14:textId="068DACD1" w:rsidR="00762D0E" w:rsidRPr="00F1669F" w:rsidRDefault="00762D0E" w:rsidP="00E45990">
      <w:pPr>
        <w:pStyle w:val="ListParagraph"/>
        <w:numPr>
          <w:ilvl w:val="0"/>
          <w:numId w:val="22"/>
        </w:numPr>
        <w:rPr>
          <w:rFonts w:eastAsia="Times New Roman" w:cstheme="minorHAnsi"/>
          <w:sz w:val="20"/>
          <w:szCs w:val="20"/>
        </w:rPr>
      </w:pPr>
      <w:r w:rsidRPr="00F1669F">
        <w:rPr>
          <w:rFonts w:eastAsia="Times New Roman" w:cstheme="minorHAnsi"/>
          <w:sz w:val="20"/>
          <w:szCs w:val="20"/>
        </w:rPr>
        <w:t xml:space="preserve">Education &amp; Training Evaluation Commission – National Centre for Academic Accreditation and Evaluation (ETEC-NCAAA) </w:t>
      </w:r>
      <w:r w:rsidR="00807235">
        <w:rPr>
          <w:rFonts w:eastAsia="Times New Roman" w:cstheme="minorHAnsi"/>
          <w:sz w:val="20"/>
          <w:szCs w:val="20"/>
        </w:rPr>
        <w:t>(Saudi Arabia)</w:t>
      </w:r>
      <w:r w:rsidRPr="00F1669F">
        <w:rPr>
          <w:rFonts w:eastAsia="Times New Roman" w:cstheme="minorHAnsi"/>
          <w:sz w:val="20"/>
          <w:szCs w:val="20"/>
        </w:rPr>
        <w:t xml:space="preserve">– recognised until April 2032 </w:t>
      </w:r>
    </w:p>
    <w:p w14:paraId="19B20AAA" w14:textId="6FDCE21D" w:rsidR="00F1669F" w:rsidRDefault="00F1669F" w:rsidP="00E45990">
      <w:pPr>
        <w:pStyle w:val="ListParagraph"/>
        <w:numPr>
          <w:ilvl w:val="0"/>
          <w:numId w:val="22"/>
        </w:numPr>
        <w:rPr>
          <w:rFonts w:eastAsia="Times New Roman" w:cstheme="minorHAnsi"/>
          <w:sz w:val="20"/>
          <w:szCs w:val="20"/>
        </w:rPr>
      </w:pPr>
      <w:r w:rsidRPr="00F1669F">
        <w:rPr>
          <w:rFonts w:eastAsia="Times New Roman" w:cstheme="minorHAnsi"/>
          <w:sz w:val="20"/>
          <w:szCs w:val="20"/>
        </w:rPr>
        <w:t>American Osteopathic Association</w:t>
      </w:r>
      <w:r w:rsidR="0095312B">
        <w:rPr>
          <w:rFonts w:eastAsia="Times New Roman" w:cstheme="minorHAnsi"/>
          <w:sz w:val="20"/>
          <w:szCs w:val="20"/>
        </w:rPr>
        <w:t>’s</w:t>
      </w:r>
      <w:r w:rsidRPr="00F1669F">
        <w:rPr>
          <w:rFonts w:eastAsia="Times New Roman" w:cstheme="minorHAnsi"/>
          <w:sz w:val="20"/>
          <w:szCs w:val="20"/>
        </w:rPr>
        <w:t xml:space="preserve"> Commission on Osteopathic College Accreditation (COCA)</w:t>
      </w:r>
      <w:r w:rsidR="002A11CE">
        <w:rPr>
          <w:rFonts w:eastAsia="Times New Roman" w:cstheme="minorHAnsi"/>
          <w:sz w:val="20"/>
          <w:szCs w:val="20"/>
        </w:rPr>
        <w:t xml:space="preserve"> </w:t>
      </w:r>
      <w:r w:rsidR="00807235">
        <w:rPr>
          <w:rFonts w:eastAsia="Times New Roman" w:cstheme="minorHAnsi"/>
          <w:sz w:val="20"/>
          <w:szCs w:val="20"/>
        </w:rPr>
        <w:t>(United States of America)</w:t>
      </w:r>
      <w:r w:rsidR="002A11CE">
        <w:rPr>
          <w:rFonts w:eastAsia="Times New Roman" w:cstheme="minorHAnsi"/>
          <w:sz w:val="20"/>
          <w:szCs w:val="20"/>
        </w:rPr>
        <w:t>– recognised until August 2032</w:t>
      </w:r>
    </w:p>
    <w:p w14:paraId="2F3307E6" w14:textId="273F4D86" w:rsidR="002A11CE" w:rsidRDefault="002A11CE" w:rsidP="00E45990">
      <w:pPr>
        <w:pStyle w:val="ListParagraph"/>
        <w:numPr>
          <w:ilvl w:val="0"/>
          <w:numId w:val="22"/>
        </w:numPr>
        <w:rPr>
          <w:rFonts w:eastAsia="Times New Roman" w:cstheme="minorHAnsi"/>
          <w:sz w:val="20"/>
          <w:szCs w:val="20"/>
        </w:rPr>
      </w:pPr>
      <w:r>
        <w:rPr>
          <w:rFonts w:eastAsia="Times New Roman" w:cstheme="minorHAnsi"/>
          <w:sz w:val="20"/>
          <w:szCs w:val="20"/>
        </w:rPr>
        <w:t xml:space="preserve">Grenada Medical and Dental Council (GMDC) </w:t>
      </w:r>
      <w:r w:rsidR="00807235">
        <w:rPr>
          <w:rFonts w:eastAsia="Times New Roman" w:cstheme="minorHAnsi"/>
          <w:sz w:val="20"/>
          <w:szCs w:val="20"/>
        </w:rPr>
        <w:t>(Grenada)</w:t>
      </w:r>
      <w:r>
        <w:rPr>
          <w:rFonts w:eastAsia="Times New Roman" w:cstheme="minorHAnsi"/>
          <w:sz w:val="20"/>
          <w:szCs w:val="20"/>
        </w:rPr>
        <w:t>– recognised until September 2032</w:t>
      </w:r>
    </w:p>
    <w:p w14:paraId="6F73818B" w14:textId="021B81FE" w:rsidR="002A11CE" w:rsidRDefault="002A11CE" w:rsidP="00E45990">
      <w:pPr>
        <w:pStyle w:val="ListParagraph"/>
        <w:numPr>
          <w:ilvl w:val="0"/>
          <w:numId w:val="22"/>
        </w:numPr>
        <w:rPr>
          <w:rFonts w:eastAsia="Times New Roman" w:cstheme="minorHAnsi"/>
          <w:sz w:val="20"/>
          <w:szCs w:val="20"/>
        </w:rPr>
      </w:pPr>
      <w:r>
        <w:rPr>
          <w:rFonts w:eastAsia="Times New Roman" w:cstheme="minorHAnsi"/>
          <w:sz w:val="20"/>
          <w:szCs w:val="20"/>
        </w:rPr>
        <w:t>National Agency for Quality Assessment and Accreditation of Spain</w:t>
      </w:r>
      <w:r w:rsidR="0025178B">
        <w:rPr>
          <w:rFonts w:eastAsia="Times New Roman" w:cstheme="minorHAnsi"/>
          <w:sz w:val="20"/>
          <w:szCs w:val="20"/>
        </w:rPr>
        <w:t xml:space="preserve"> (ANECA)</w:t>
      </w:r>
      <w:r w:rsidR="00807235">
        <w:rPr>
          <w:rFonts w:eastAsia="Times New Roman" w:cstheme="minorHAnsi"/>
          <w:sz w:val="20"/>
          <w:szCs w:val="20"/>
        </w:rPr>
        <w:t xml:space="preserve"> (Spain) - recognised</w:t>
      </w:r>
      <w:r>
        <w:rPr>
          <w:rFonts w:eastAsia="Times New Roman" w:cstheme="minorHAnsi"/>
          <w:sz w:val="20"/>
          <w:szCs w:val="20"/>
        </w:rPr>
        <w:t xml:space="preserve"> until October 2032</w:t>
      </w:r>
    </w:p>
    <w:p w14:paraId="26B62F96" w14:textId="0F2A7ED3" w:rsidR="002A11CE" w:rsidRPr="00F1669F" w:rsidRDefault="002A11CE" w:rsidP="00E45990">
      <w:pPr>
        <w:pStyle w:val="ListParagraph"/>
        <w:numPr>
          <w:ilvl w:val="0"/>
          <w:numId w:val="22"/>
        </w:numPr>
        <w:rPr>
          <w:rFonts w:eastAsia="Times New Roman" w:cstheme="minorHAnsi"/>
          <w:sz w:val="20"/>
          <w:szCs w:val="20"/>
        </w:rPr>
      </w:pPr>
      <w:r w:rsidRPr="002A11CE">
        <w:rPr>
          <w:rFonts w:eastAsia="Times New Roman" w:cstheme="minorHAnsi"/>
          <w:sz w:val="20"/>
          <w:szCs w:val="20"/>
        </w:rPr>
        <w:t xml:space="preserve">Eurasian Centre for Accreditation and Quality Assurance in Higher Education and Health </w:t>
      </w:r>
      <w:r w:rsidR="0025178B">
        <w:rPr>
          <w:rFonts w:eastAsia="Times New Roman" w:cstheme="minorHAnsi"/>
          <w:sz w:val="20"/>
          <w:szCs w:val="20"/>
        </w:rPr>
        <w:t>C</w:t>
      </w:r>
      <w:r w:rsidRPr="002A11CE">
        <w:rPr>
          <w:rFonts w:eastAsia="Times New Roman" w:cstheme="minorHAnsi"/>
          <w:sz w:val="20"/>
          <w:szCs w:val="20"/>
        </w:rPr>
        <w:t>are (ECAQA)</w:t>
      </w:r>
      <w:r w:rsidR="00807235">
        <w:rPr>
          <w:rFonts w:eastAsia="Times New Roman" w:cstheme="minorHAnsi"/>
          <w:sz w:val="20"/>
          <w:szCs w:val="20"/>
        </w:rPr>
        <w:t xml:space="preserve"> (Kazakhstan)</w:t>
      </w:r>
      <w:r>
        <w:rPr>
          <w:rFonts w:eastAsia="Times New Roman" w:cstheme="minorHAnsi"/>
          <w:sz w:val="20"/>
          <w:szCs w:val="20"/>
        </w:rPr>
        <w:t xml:space="preserve"> – recognised until October 2032</w:t>
      </w:r>
    </w:p>
    <w:p w14:paraId="2A9122B1" w14:textId="155A12C7" w:rsidR="0025178B" w:rsidRDefault="0025178B" w:rsidP="0025178B">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Education &amp; Training Quality Authority (BQA) (</w:t>
      </w:r>
      <w:r w:rsidR="00807235">
        <w:rPr>
          <w:rFonts w:ascii="Arial" w:hAnsi="Arial" w:cs="Arial"/>
          <w:sz w:val="20"/>
          <w:szCs w:val="20"/>
        </w:rPr>
        <w:t>Bahrain)</w:t>
      </w:r>
      <w:r>
        <w:rPr>
          <w:rFonts w:ascii="Arial" w:hAnsi="Arial" w:cs="Arial"/>
          <w:sz w:val="20"/>
          <w:szCs w:val="20"/>
        </w:rPr>
        <w:t xml:space="preserve"> – recognised until November 2032</w:t>
      </w:r>
    </w:p>
    <w:p w14:paraId="36A0E0B9" w14:textId="0024CB42" w:rsidR="00807235" w:rsidRDefault="00807235" w:rsidP="0025178B">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Sri Lanka Medical Council (SLMC) – recognised until March 2033</w:t>
      </w:r>
    </w:p>
    <w:p w14:paraId="1FF25847" w14:textId="77777777" w:rsidR="006E2F4C" w:rsidRDefault="006E2F4C" w:rsidP="006E2F4C">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Philippine Accrediting Association of Schools, Colleges and Universities (PAASCU) – recognised until April 2033</w:t>
      </w:r>
    </w:p>
    <w:p w14:paraId="1E9643B9" w14:textId="31156FB9" w:rsidR="009A6E0C" w:rsidRDefault="009A6E0C" w:rsidP="0025178B">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Malaysian Medical Council (MMC) – recognised until April 2033</w:t>
      </w:r>
    </w:p>
    <w:p w14:paraId="39093A37" w14:textId="53B30916" w:rsidR="00C60E15" w:rsidRDefault="00C60E15" w:rsidP="00C60E15">
      <w:pPr>
        <w:pStyle w:val="ListParagraph"/>
        <w:numPr>
          <w:ilvl w:val="0"/>
          <w:numId w:val="22"/>
        </w:numPr>
        <w:rPr>
          <w:rFonts w:ascii="Arial" w:hAnsi="Arial" w:cs="Arial"/>
          <w:sz w:val="20"/>
          <w:szCs w:val="20"/>
        </w:rPr>
      </w:pPr>
      <w:r w:rsidRPr="00C60E15">
        <w:rPr>
          <w:rFonts w:ascii="Arial" w:hAnsi="Arial" w:cs="Arial"/>
          <w:sz w:val="20"/>
          <w:szCs w:val="20"/>
        </w:rPr>
        <w:t>Caribbean Accreditation Authority for Education in Medicine and Other Health Professions (CAAM-HP) (Countries of the Caribbean Community, CARICOM) – recognised until May 20</w:t>
      </w:r>
      <w:r>
        <w:rPr>
          <w:rFonts w:ascii="Arial" w:hAnsi="Arial" w:cs="Arial"/>
          <w:sz w:val="20"/>
          <w:szCs w:val="20"/>
        </w:rPr>
        <w:t>3</w:t>
      </w:r>
      <w:r w:rsidRPr="00C60E15">
        <w:rPr>
          <w:rFonts w:ascii="Arial" w:hAnsi="Arial" w:cs="Arial"/>
          <w:sz w:val="20"/>
          <w:szCs w:val="20"/>
        </w:rPr>
        <w:t>3</w:t>
      </w:r>
    </w:p>
    <w:p w14:paraId="659F871A" w14:textId="449DF723" w:rsidR="00CE33DD" w:rsidRDefault="00CE33DD" w:rsidP="00CE33DD">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Consejo Nacional de Acredita</w:t>
      </w:r>
      <w:r>
        <w:rPr>
          <w:rFonts w:ascii="Arial" w:hAnsi="Arial" w:cs="Arial"/>
          <w:sz w:val="20"/>
          <w:szCs w:val="20"/>
        </w:rPr>
        <w:t>ci</w:t>
      </w:r>
      <w:r w:rsidRPr="00F1669F">
        <w:rPr>
          <w:rFonts w:ascii="Arial" w:hAnsi="Arial" w:cs="Arial"/>
          <w:sz w:val="20"/>
          <w:szCs w:val="20"/>
        </w:rPr>
        <w:t>ón (CNA) (Colombia)</w:t>
      </w:r>
      <w:r>
        <w:rPr>
          <w:rFonts w:ascii="Arial" w:hAnsi="Arial" w:cs="Arial"/>
          <w:sz w:val="20"/>
          <w:szCs w:val="20"/>
        </w:rPr>
        <w:t xml:space="preserve"> – recognised until June 2033</w:t>
      </w:r>
    </w:p>
    <w:p w14:paraId="07A408D4" w14:textId="77777777" w:rsidR="00801622" w:rsidRDefault="00801622" w:rsidP="00801622">
      <w:pPr>
        <w:pStyle w:val="ListParagraph"/>
        <w:numPr>
          <w:ilvl w:val="0"/>
          <w:numId w:val="22"/>
        </w:numPr>
        <w:rPr>
          <w:rFonts w:ascii="Arial" w:hAnsi="Arial" w:cs="Arial"/>
          <w:sz w:val="20"/>
          <w:szCs w:val="20"/>
        </w:rPr>
      </w:pPr>
      <w:r w:rsidRPr="00801622">
        <w:rPr>
          <w:rFonts w:ascii="Arial" w:hAnsi="Arial" w:cs="Arial"/>
          <w:sz w:val="20"/>
          <w:szCs w:val="20"/>
        </w:rPr>
        <w:t>The Association for Evaluation and Accreditation of Medical Education Programs (TEPDAD) (Tıp Eğitimi Değerlendirme ve Akreditasyon Derneği) (Turkey) – recognised until July 2033</w:t>
      </w:r>
    </w:p>
    <w:p w14:paraId="6D0420D8" w14:textId="77777777" w:rsidR="00B07D16" w:rsidRPr="00490ABD" w:rsidRDefault="00B07D16" w:rsidP="00B07D16">
      <w:pPr>
        <w:pStyle w:val="ListParagraph"/>
        <w:numPr>
          <w:ilvl w:val="0"/>
          <w:numId w:val="22"/>
        </w:numPr>
        <w:spacing w:line="276" w:lineRule="auto"/>
        <w:rPr>
          <w:rFonts w:cstheme="minorHAnsi"/>
          <w:sz w:val="20"/>
          <w:szCs w:val="20"/>
        </w:rPr>
      </w:pPr>
      <w:r w:rsidRPr="00490ABD">
        <w:rPr>
          <w:rFonts w:cstheme="minorHAnsi"/>
          <w:sz w:val="20"/>
          <w:szCs w:val="20"/>
        </w:rPr>
        <w:t>Swiss Agency of Accreditation and Quality Assurance (AAQ) (Switzerland)</w:t>
      </w:r>
    </w:p>
    <w:p w14:paraId="67C124B1" w14:textId="198593EE" w:rsidR="00B07D16" w:rsidRPr="00F1669F" w:rsidRDefault="00B07D16" w:rsidP="00B07D16">
      <w:pPr>
        <w:pStyle w:val="ListParagraph"/>
        <w:numPr>
          <w:ilvl w:val="0"/>
          <w:numId w:val="22"/>
        </w:numPr>
        <w:shd w:val="clear" w:color="auto" w:fill="FFFFFF"/>
        <w:jc w:val="both"/>
        <w:rPr>
          <w:rFonts w:ascii="Arial" w:hAnsi="Arial" w:cs="Arial"/>
          <w:sz w:val="20"/>
          <w:szCs w:val="20"/>
        </w:rPr>
      </w:pPr>
      <w:r>
        <w:rPr>
          <w:rFonts w:ascii="Arial" w:hAnsi="Arial" w:cs="Arial"/>
          <w:sz w:val="20"/>
          <w:szCs w:val="20"/>
        </w:rPr>
        <w:t>National Medical Commission (NMC) (India) – recognised until September 2033</w:t>
      </w:r>
    </w:p>
    <w:p w14:paraId="08B7085E" w14:textId="77777777" w:rsidR="002E2297" w:rsidRDefault="002E2297" w:rsidP="002E2297">
      <w:pPr>
        <w:pStyle w:val="ListParagraph"/>
        <w:numPr>
          <w:ilvl w:val="0"/>
          <w:numId w:val="22"/>
        </w:numPr>
        <w:shd w:val="clear" w:color="auto" w:fill="FFFFFF"/>
        <w:jc w:val="both"/>
        <w:rPr>
          <w:rFonts w:ascii="Arial" w:hAnsi="Arial" w:cs="Arial"/>
          <w:sz w:val="20"/>
          <w:szCs w:val="20"/>
        </w:rPr>
      </w:pPr>
      <w:r w:rsidRPr="00F1669F">
        <w:rPr>
          <w:rFonts w:ascii="Arial" w:hAnsi="Arial" w:cs="Arial"/>
          <w:sz w:val="20"/>
          <w:szCs w:val="20"/>
        </w:rPr>
        <w:t>Accreditation Agency in Health and Social Sciences (AHPGS) (Germany)</w:t>
      </w:r>
      <w:r>
        <w:rPr>
          <w:rFonts w:ascii="Arial" w:hAnsi="Arial" w:cs="Arial"/>
          <w:sz w:val="20"/>
          <w:szCs w:val="20"/>
        </w:rPr>
        <w:t xml:space="preserve"> – recognised until </w:t>
      </w:r>
    </w:p>
    <w:p w14:paraId="615E15BF" w14:textId="5A83BC81" w:rsidR="002E2297" w:rsidRDefault="002E2297" w:rsidP="002E2297">
      <w:pPr>
        <w:pStyle w:val="ListParagraph"/>
        <w:shd w:val="clear" w:color="auto" w:fill="FFFFFF"/>
        <w:ind w:left="1080"/>
        <w:jc w:val="both"/>
        <w:rPr>
          <w:rFonts w:ascii="Arial" w:hAnsi="Arial" w:cs="Arial"/>
          <w:sz w:val="20"/>
          <w:szCs w:val="20"/>
        </w:rPr>
      </w:pPr>
      <w:r>
        <w:rPr>
          <w:rFonts w:ascii="Arial" w:hAnsi="Arial" w:cs="Arial"/>
          <w:sz w:val="20"/>
          <w:szCs w:val="20"/>
        </w:rPr>
        <w:t>October 2033</w:t>
      </w:r>
    </w:p>
    <w:p w14:paraId="7E428F63" w14:textId="0D79D630" w:rsidR="002E2297" w:rsidRDefault="002E2297" w:rsidP="002E2297">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Centre for Quality Assessment in Higher Education (SKVC) (Lithuania) – recognised until October 2033</w:t>
      </w:r>
    </w:p>
    <w:p w14:paraId="20125E37" w14:textId="77777777" w:rsidR="006E2F4C" w:rsidRDefault="006E2F4C" w:rsidP="006E2F4C">
      <w:pPr>
        <w:pStyle w:val="ListParagraph"/>
        <w:numPr>
          <w:ilvl w:val="0"/>
          <w:numId w:val="23"/>
        </w:numPr>
        <w:shd w:val="clear" w:color="auto" w:fill="FFFFFF"/>
        <w:jc w:val="both"/>
        <w:rPr>
          <w:rFonts w:ascii="Arial" w:hAnsi="Arial" w:cs="Arial"/>
          <w:sz w:val="20"/>
          <w:szCs w:val="20"/>
        </w:rPr>
      </w:pPr>
      <w:r w:rsidRPr="000F6B7B">
        <w:rPr>
          <w:rFonts w:ascii="Arial" w:hAnsi="Arial" w:cs="Arial"/>
          <w:sz w:val="20"/>
          <w:szCs w:val="20"/>
        </w:rPr>
        <w:t>National Center for Quality Assurance and Accreditation of Educational and Training Institutions (NCQAAETIs)</w:t>
      </w:r>
      <w:r>
        <w:rPr>
          <w:rFonts w:ascii="Arial" w:hAnsi="Arial" w:cs="Arial"/>
          <w:sz w:val="20"/>
          <w:szCs w:val="20"/>
        </w:rPr>
        <w:t xml:space="preserve"> (Libya)</w:t>
      </w:r>
    </w:p>
    <w:p w14:paraId="2CEBE542" w14:textId="3FC6FE8F" w:rsidR="006E2F4C" w:rsidRPr="006E2F4C" w:rsidRDefault="006E2F4C" w:rsidP="006E2F4C">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 xml:space="preserve">Pakistan Medical and Dental Council (PMDC) (Pakistan) </w:t>
      </w:r>
      <w:r w:rsidRPr="00F1669F">
        <w:rPr>
          <w:rFonts w:ascii="Arial" w:hAnsi="Arial" w:cs="Arial"/>
          <w:sz w:val="20"/>
          <w:szCs w:val="20"/>
        </w:rPr>
        <w:t>– recognised until</w:t>
      </w:r>
      <w:r>
        <w:rPr>
          <w:rFonts w:ascii="Arial" w:hAnsi="Arial" w:cs="Arial"/>
          <w:sz w:val="20"/>
          <w:szCs w:val="20"/>
        </w:rPr>
        <w:t xml:space="preserve"> February 2034</w:t>
      </w:r>
    </w:p>
    <w:p w14:paraId="06D5E5C2" w14:textId="552A33B2" w:rsidR="006E2F4C" w:rsidRPr="006E2F4C" w:rsidRDefault="006E2F4C" w:rsidP="006E2F4C">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National Council for Accreditation of Medical Colleges (NCAMC) (Iraq)</w:t>
      </w:r>
      <w:r>
        <w:rPr>
          <w:rFonts w:ascii="Arial" w:hAnsi="Arial" w:cs="Arial"/>
          <w:sz w:val="20"/>
          <w:szCs w:val="20"/>
        </w:rPr>
        <w:t xml:space="preserve"> </w:t>
      </w:r>
      <w:r w:rsidRPr="00F1669F">
        <w:rPr>
          <w:rFonts w:ascii="Arial" w:hAnsi="Arial" w:cs="Arial"/>
          <w:sz w:val="20"/>
          <w:szCs w:val="20"/>
        </w:rPr>
        <w:t>– recognised until</w:t>
      </w:r>
      <w:r>
        <w:rPr>
          <w:rFonts w:ascii="Arial" w:hAnsi="Arial" w:cs="Arial"/>
          <w:sz w:val="20"/>
          <w:szCs w:val="20"/>
        </w:rPr>
        <w:t xml:space="preserve"> February 2034</w:t>
      </w:r>
    </w:p>
    <w:p w14:paraId="1B026337" w14:textId="77777777" w:rsidR="006E2F4C" w:rsidRPr="006E2F4C" w:rsidRDefault="006E2F4C" w:rsidP="006E2F4C">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Committee on Accreditation of Canadian Medical Schools (Canada) – recognised until March 2034</w:t>
      </w:r>
    </w:p>
    <w:p w14:paraId="7F4D558B" w14:textId="4F0E0569" w:rsidR="006E2F4C" w:rsidRPr="006E2F4C" w:rsidRDefault="006E2F4C" w:rsidP="006E2F4C">
      <w:pPr>
        <w:pStyle w:val="ListParagraph"/>
        <w:numPr>
          <w:ilvl w:val="0"/>
          <w:numId w:val="23"/>
        </w:numPr>
        <w:shd w:val="clear" w:color="auto" w:fill="FFFFFF"/>
        <w:jc w:val="both"/>
        <w:rPr>
          <w:rFonts w:ascii="Arial" w:hAnsi="Arial" w:cs="Arial"/>
          <w:sz w:val="20"/>
          <w:szCs w:val="20"/>
        </w:rPr>
      </w:pPr>
      <w:hyperlink r:id="rId13" w:tgtFrame="_blank" w:history="1">
        <w:r w:rsidRPr="006E2F4C">
          <w:rPr>
            <w:sz w:val="20"/>
            <w:szCs w:val="20"/>
          </w:rPr>
          <w:t>Italian National Agency for the Evaluation of Universities and Research Institutes (ANVUR)</w:t>
        </w:r>
      </w:hyperlink>
      <w:r w:rsidRPr="006E2F4C">
        <w:rPr>
          <w:rFonts w:ascii="Arial" w:hAnsi="Arial" w:cs="Arial"/>
          <w:sz w:val="20"/>
          <w:szCs w:val="20"/>
        </w:rPr>
        <w:t xml:space="preserve"> (Italy) </w:t>
      </w:r>
      <w:r w:rsidRPr="00F1669F">
        <w:rPr>
          <w:rFonts w:ascii="Arial" w:hAnsi="Arial" w:cs="Arial"/>
          <w:sz w:val="20"/>
          <w:szCs w:val="20"/>
        </w:rPr>
        <w:t xml:space="preserve">– recognised until </w:t>
      </w:r>
      <w:r w:rsidRPr="006E2F4C">
        <w:rPr>
          <w:rFonts w:ascii="Arial" w:hAnsi="Arial" w:cs="Arial"/>
          <w:sz w:val="20"/>
          <w:szCs w:val="20"/>
        </w:rPr>
        <w:t>March 2034</w:t>
      </w:r>
    </w:p>
    <w:p w14:paraId="4C0ACC41" w14:textId="1BD2C146" w:rsidR="006E2F4C" w:rsidRPr="00F1669F" w:rsidRDefault="006E2F4C" w:rsidP="006E2F4C">
      <w:pPr>
        <w:pStyle w:val="ListParagraph"/>
        <w:numPr>
          <w:ilvl w:val="0"/>
          <w:numId w:val="23"/>
        </w:numPr>
        <w:shd w:val="clear" w:color="auto" w:fill="FFFFFF"/>
        <w:jc w:val="both"/>
        <w:rPr>
          <w:rFonts w:ascii="Arial" w:hAnsi="Arial" w:cs="Arial"/>
          <w:sz w:val="20"/>
          <w:szCs w:val="20"/>
        </w:rPr>
      </w:pPr>
      <w:r w:rsidRPr="006E2F4C">
        <w:rPr>
          <w:rFonts w:ascii="Arial" w:hAnsi="Arial" w:cs="Arial"/>
          <w:sz w:val="20"/>
          <w:szCs w:val="20"/>
        </w:rPr>
        <w:t>Liaison Committee</w:t>
      </w:r>
      <w:r w:rsidRPr="00F1669F">
        <w:rPr>
          <w:rFonts w:ascii="Arial" w:hAnsi="Arial" w:cs="Arial"/>
          <w:color w:val="000000" w:themeColor="text1"/>
          <w:sz w:val="20"/>
          <w:szCs w:val="20"/>
        </w:rPr>
        <w:t xml:space="preserve"> on Medical Education (LCME) </w:t>
      </w:r>
      <w:r w:rsidRPr="00F1669F">
        <w:rPr>
          <w:rFonts w:ascii="Arial" w:hAnsi="Arial" w:cs="Arial"/>
          <w:sz w:val="20"/>
          <w:szCs w:val="20"/>
        </w:rPr>
        <w:t xml:space="preserve">(United States of America) – recognised until </w:t>
      </w:r>
      <w:r>
        <w:rPr>
          <w:rFonts w:ascii="Arial" w:hAnsi="Arial" w:cs="Arial"/>
          <w:sz w:val="20"/>
          <w:szCs w:val="20"/>
        </w:rPr>
        <w:t>August 2034</w:t>
      </w:r>
    </w:p>
    <w:p w14:paraId="7E490F18" w14:textId="173781EE" w:rsidR="006E2F4C" w:rsidRPr="006E2F4C" w:rsidRDefault="006E2F4C" w:rsidP="006E2F4C">
      <w:pPr>
        <w:pStyle w:val="ListParagraph"/>
        <w:numPr>
          <w:ilvl w:val="0"/>
          <w:numId w:val="23"/>
        </w:numPr>
        <w:shd w:val="clear" w:color="auto" w:fill="FFFFFF"/>
        <w:jc w:val="both"/>
        <w:rPr>
          <w:sz w:val="20"/>
          <w:szCs w:val="20"/>
        </w:rPr>
      </w:pPr>
      <w:hyperlink r:id="rId14" w:tgtFrame="_blank" w:history="1">
        <w:r w:rsidRPr="006E2F4C">
          <w:rPr>
            <w:sz w:val="20"/>
            <w:szCs w:val="20"/>
          </w:rPr>
          <w:t>National Accreditation Commission of Chile (CNA-Chile)</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August 2034</w:t>
      </w:r>
    </w:p>
    <w:p w14:paraId="53D50D6B" w14:textId="5F111FE3" w:rsidR="006E2F4C" w:rsidRPr="006E2F4C" w:rsidRDefault="006E2F4C" w:rsidP="006E2F4C">
      <w:pPr>
        <w:pStyle w:val="ListParagraph"/>
        <w:numPr>
          <w:ilvl w:val="0"/>
          <w:numId w:val="23"/>
        </w:numPr>
        <w:shd w:val="clear" w:color="auto" w:fill="FFFFFF"/>
        <w:jc w:val="both"/>
        <w:rPr>
          <w:sz w:val="20"/>
          <w:szCs w:val="20"/>
        </w:rPr>
      </w:pPr>
      <w:hyperlink r:id="rId15" w:tgtFrame="_blank" w:history="1">
        <w:r w:rsidRPr="006E2F4C">
          <w:rPr>
            <w:sz w:val="20"/>
            <w:szCs w:val="20"/>
          </w:rPr>
          <w:t>Slovak Accreditation Agency for Higher Education (SAAHE)</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August 2034</w:t>
      </w:r>
    </w:p>
    <w:p w14:paraId="2F70ABE5" w14:textId="4FBCC57A" w:rsidR="006E2F4C" w:rsidRPr="006E2F4C" w:rsidRDefault="006E2F4C" w:rsidP="006E2F4C">
      <w:pPr>
        <w:pStyle w:val="ListParagraph"/>
        <w:numPr>
          <w:ilvl w:val="0"/>
          <w:numId w:val="23"/>
        </w:numPr>
        <w:shd w:val="clear" w:color="auto" w:fill="FFFFFF"/>
        <w:jc w:val="both"/>
        <w:rPr>
          <w:sz w:val="20"/>
          <w:szCs w:val="20"/>
        </w:rPr>
      </w:pPr>
      <w:hyperlink r:id="rId16" w:tgtFrame="_blank" w:history="1">
        <w:r w:rsidRPr="006E2F4C">
          <w:rPr>
            <w:sz w:val="20"/>
            <w:szCs w:val="20"/>
          </w:rPr>
          <w:t xml:space="preserve">Comisión Nacional de </w:t>
        </w:r>
        <w:proofErr w:type="spellStart"/>
        <w:r w:rsidRPr="006E2F4C">
          <w:rPr>
            <w:sz w:val="20"/>
            <w:szCs w:val="20"/>
          </w:rPr>
          <w:t>Evaluación</w:t>
        </w:r>
        <w:proofErr w:type="spellEnd"/>
        <w:r w:rsidRPr="006E2F4C">
          <w:rPr>
            <w:sz w:val="20"/>
            <w:szCs w:val="20"/>
          </w:rPr>
          <w:t xml:space="preserve"> y </w:t>
        </w:r>
        <w:proofErr w:type="spellStart"/>
        <w:r w:rsidRPr="006E2F4C">
          <w:rPr>
            <w:sz w:val="20"/>
            <w:szCs w:val="20"/>
          </w:rPr>
          <w:t>Acreditación</w:t>
        </w:r>
        <w:proofErr w:type="spellEnd"/>
        <w:r w:rsidRPr="006E2F4C">
          <w:rPr>
            <w:sz w:val="20"/>
            <w:szCs w:val="20"/>
          </w:rPr>
          <w:t xml:space="preserve"> </w:t>
        </w:r>
        <w:proofErr w:type="spellStart"/>
        <w:r w:rsidRPr="006E2F4C">
          <w:rPr>
            <w:sz w:val="20"/>
            <w:szCs w:val="20"/>
          </w:rPr>
          <w:t>Universitaria</w:t>
        </w:r>
        <w:proofErr w:type="spellEnd"/>
        <w:r w:rsidRPr="006E2F4C">
          <w:rPr>
            <w:sz w:val="20"/>
            <w:szCs w:val="20"/>
          </w:rPr>
          <w:t xml:space="preserve"> (CONEAU)</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January 2035</w:t>
      </w:r>
    </w:p>
    <w:p w14:paraId="107F4ADC" w14:textId="20D5808F" w:rsidR="006E2F4C" w:rsidRPr="006E2F4C" w:rsidRDefault="006E2F4C" w:rsidP="006E2F4C">
      <w:pPr>
        <w:pStyle w:val="ListParagraph"/>
        <w:numPr>
          <w:ilvl w:val="0"/>
          <w:numId w:val="23"/>
        </w:numPr>
        <w:shd w:val="clear" w:color="auto" w:fill="FFFFFF"/>
        <w:jc w:val="both"/>
        <w:rPr>
          <w:sz w:val="20"/>
          <w:szCs w:val="20"/>
        </w:rPr>
      </w:pPr>
      <w:hyperlink r:id="rId17" w:tgtFrame="_blank" w:history="1">
        <w:r w:rsidRPr="006E2F4C">
          <w:rPr>
            <w:sz w:val="20"/>
            <w:szCs w:val="20"/>
          </w:rPr>
          <w:t>National Accreditation Bureau for Higher Education (NAB)</w:t>
        </w:r>
      </w:hyperlink>
      <w:r w:rsidRPr="006E2F4C">
        <w:rPr>
          <w:sz w:val="20"/>
          <w:szCs w:val="20"/>
        </w:rPr>
        <w:t> </w:t>
      </w:r>
      <w:r w:rsidRPr="00F1669F">
        <w:rPr>
          <w:rFonts w:ascii="Arial" w:hAnsi="Arial" w:cs="Arial"/>
          <w:sz w:val="20"/>
          <w:szCs w:val="20"/>
        </w:rPr>
        <w:t>– recognised until</w:t>
      </w:r>
      <w:r>
        <w:rPr>
          <w:rFonts w:ascii="Arial" w:hAnsi="Arial" w:cs="Arial"/>
          <w:sz w:val="20"/>
          <w:szCs w:val="20"/>
        </w:rPr>
        <w:t xml:space="preserve"> January 2035</w:t>
      </w:r>
    </w:p>
    <w:p w14:paraId="5F069802" w14:textId="77777777" w:rsidR="006E2F4C" w:rsidRPr="006E2F4C" w:rsidRDefault="006E2F4C" w:rsidP="006E2F4C">
      <w:pPr>
        <w:pStyle w:val="ListParagraph"/>
        <w:shd w:val="clear" w:color="auto" w:fill="FFFFFF"/>
        <w:ind w:left="1070"/>
        <w:jc w:val="both"/>
        <w:rPr>
          <w:sz w:val="20"/>
          <w:szCs w:val="20"/>
        </w:rPr>
      </w:pPr>
    </w:p>
    <w:p w14:paraId="639EFEBD" w14:textId="77777777" w:rsidR="00CE33DD" w:rsidRPr="00C60E15" w:rsidRDefault="00CE33DD" w:rsidP="00CE33DD">
      <w:pPr>
        <w:pStyle w:val="ListParagraph"/>
        <w:ind w:left="1080"/>
        <w:rPr>
          <w:rFonts w:ascii="Arial" w:hAnsi="Arial" w:cs="Arial"/>
          <w:sz w:val="20"/>
          <w:szCs w:val="20"/>
        </w:rPr>
      </w:pPr>
    </w:p>
    <w:bookmarkEnd w:id="0"/>
    <w:p w14:paraId="1B3A4F04" w14:textId="77777777" w:rsidR="00D725A3" w:rsidRPr="00F1669F" w:rsidRDefault="00D725A3" w:rsidP="00D725A3">
      <w:pPr>
        <w:pStyle w:val="ListParagraph"/>
        <w:numPr>
          <w:ilvl w:val="0"/>
          <w:numId w:val="20"/>
        </w:numPr>
        <w:shd w:val="clear" w:color="auto" w:fill="FFFFFF"/>
        <w:jc w:val="both"/>
        <w:rPr>
          <w:rFonts w:ascii="Arial" w:hAnsi="Arial" w:cs="Arial"/>
          <w:sz w:val="20"/>
          <w:szCs w:val="20"/>
        </w:rPr>
      </w:pPr>
      <w:r w:rsidRPr="00F1669F">
        <w:rPr>
          <w:rFonts w:ascii="Arial" w:hAnsi="Arial" w:cs="Arial"/>
          <w:sz w:val="20"/>
          <w:szCs w:val="20"/>
        </w:rPr>
        <w:t>The following accrediting agencies have an application under consideration by WFME (listed in alphabetical order):</w:t>
      </w:r>
    </w:p>
    <w:p w14:paraId="461163AC" w14:textId="59B5D76D" w:rsidR="009A6E0C" w:rsidRPr="009A6E0C" w:rsidRDefault="009A6E0C" w:rsidP="009A6E0C">
      <w:pPr>
        <w:pStyle w:val="ListParagraph"/>
        <w:numPr>
          <w:ilvl w:val="0"/>
          <w:numId w:val="23"/>
        </w:numPr>
        <w:shd w:val="clear" w:color="auto" w:fill="FFFFFF"/>
        <w:jc w:val="both"/>
        <w:rPr>
          <w:rFonts w:ascii="Arial" w:hAnsi="Arial" w:cs="Arial"/>
          <w:sz w:val="20"/>
          <w:szCs w:val="20"/>
        </w:rPr>
      </w:pPr>
      <w:bookmarkStart w:id="1" w:name="_Hlk42074900"/>
      <w:r w:rsidRPr="009A6E0C">
        <w:rPr>
          <w:rFonts w:ascii="Arial" w:hAnsi="Arial" w:cs="Arial"/>
          <w:sz w:val="20"/>
          <w:szCs w:val="20"/>
        </w:rPr>
        <w:t>Agency for Assessment and Accreditation of</w:t>
      </w:r>
      <w:r>
        <w:rPr>
          <w:rFonts w:ascii="Arial" w:hAnsi="Arial" w:cs="Arial"/>
          <w:sz w:val="20"/>
          <w:szCs w:val="20"/>
        </w:rPr>
        <w:t xml:space="preserve"> </w:t>
      </w:r>
      <w:r w:rsidRPr="009A6E0C">
        <w:rPr>
          <w:rFonts w:ascii="Arial" w:hAnsi="Arial" w:cs="Arial"/>
          <w:sz w:val="20"/>
          <w:szCs w:val="20"/>
        </w:rPr>
        <w:t>Higher Education (A3ES)</w:t>
      </w:r>
      <w:r>
        <w:rPr>
          <w:rFonts w:ascii="Arial" w:hAnsi="Arial" w:cs="Arial"/>
          <w:sz w:val="20"/>
          <w:szCs w:val="20"/>
        </w:rPr>
        <w:t xml:space="preserve"> (Portugal)</w:t>
      </w:r>
    </w:p>
    <w:bookmarkEnd w:id="1"/>
    <w:p w14:paraId="2591947C" w14:textId="713B0179" w:rsidR="008F02D7" w:rsidRPr="00F1669F" w:rsidRDefault="00D725A3" w:rsidP="008F02D7">
      <w:pPr>
        <w:pStyle w:val="ListParagraph"/>
        <w:numPr>
          <w:ilvl w:val="0"/>
          <w:numId w:val="23"/>
        </w:numPr>
        <w:shd w:val="clear" w:color="auto" w:fill="FFFFFF"/>
        <w:jc w:val="both"/>
        <w:rPr>
          <w:rFonts w:ascii="Arial" w:hAnsi="Arial" w:cs="Arial"/>
          <w:sz w:val="20"/>
          <w:szCs w:val="20"/>
        </w:rPr>
      </w:pPr>
      <w:proofErr w:type="spellStart"/>
      <w:r w:rsidRPr="00F1669F">
        <w:rPr>
          <w:rFonts w:ascii="Arial" w:hAnsi="Arial" w:cs="Arial"/>
          <w:sz w:val="20"/>
          <w:szCs w:val="20"/>
        </w:rPr>
        <w:t>Conférence</w:t>
      </w:r>
      <w:proofErr w:type="spellEnd"/>
      <w:r w:rsidRPr="00F1669F">
        <w:rPr>
          <w:rFonts w:ascii="Arial" w:hAnsi="Arial" w:cs="Arial"/>
          <w:sz w:val="20"/>
          <w:szCs w:val="20"/>
        </w:rPr>
        <w:t xml:space="preserve"> Internationale des Doyens et des Facultés de Médecine d'Expression Française (CIDMEF)</w:t>
      </w:r>
      <w:r w:rsidRPr="00F1669F">
        <w:rPr>
          <w:rFonts w:ascii="Arial" w:eastAsia="Times New Roman" w:hAnsi="Arial" w:cs="Arial"/>
          <w:color w:val="000000" w:themeColor="text1"/>
          <w:sz w:val="20"/>
          <w:szCs w:val="20"/>
          <w:lang w:eastAsia="en-GB"/>
        </w:rPr>
        <w:t xml:space="preserve"> (</w:t>
      </w:r>
      <w:r w:rsidR="008F02D7" w:rsidRPr="00F1669F">
        <w:rPr>
          <w:rFonts w:ascii="Arial" w:eastAsia="Times New Roman" w:hAnsi="Arial" w:cs="Arial"/>
          <w:color w:val="000000" w:themeColor="text1"/>
          <w:sz w:val="20"/>
          <w:szCs w:val="20"/>
          <w:lang w:eastAsia="en-GB"/>
        </w:rPr>
        <w:t xml:space="preserve">Selected </w:t>
      </w:r>
      <w:r w:rsidRPr="00F1669F">
        <w:rPr>
          <w:rFonts w:ascii="Arial" w:eastAsia="Times New Roman" w:hAnsi="Arial" w:cs="Arial"/>
          <w:color w:val="000000" w:themeColor="text1"/>
          <w:sz w:val="20"/>
          <w:szCs w:val="20"/>
          <w:lang w:eastAsia="en-GB"/>
        </w:rPr>
        <w:t>Francophone countries world-wide)</w:t>
      </w:r>
    </w:p>
    <w:p w14:paraId="6965446D" w14:textId="09164288" w:rsidR="00AA72D2" w:rsidRDefault="00AA72D2" w:rsidP="008F02D7">
      <w:pPr>
        <w:pStyle w:val="ListParagraph"/>
        <w:numPr>
          <w:ilvl w:val="0"/>
          <w:numId w:val="23"/>
        </w:numPr>
        <w:shd w:val="clear" w:color="auto" w:fill="FFFFFF"/>
        <w:jc w:val="both"/>
        <w:rPr>
          <w:rFonts w:ascii="Arial" w:hAnsi="Arial" w:cs="Arial"/>
          <w:sz w:val="20"/>
          <w:szCs w:val="20"/>
        </w:rPr>
      </w:pPr>
      <w:r w:rsidRPr="00AA72D2">
        <w:rPr>
          <w:rFonts w:ascii="Arial" w:hAnsi="Arial" w:cs="Arial"/>
          <w:sz w:val="20"/>
          <w:szCs w:val="20"/>
        </w:rPr>
        <w:t>Council for Academic Accreditation and Quality Assurance of Higher Education (CAQA)</w:t>
      </w:r>
      <w:r>
        <w:rPr>
          <w:rFonts w:ascii="Arial" w:hAnsi="Arial" w:cs="Arial"/>
          <w:sz w:val="20"/>
          <w:szCs w:val="20"/>
        </w:rPr>
        <w:t xml:space="preserve"> (Yemen)</w:t>
      </w:r>
    </w:p>
    <w:p w14:paraId="78163F1B" w14:textId="04FFD6C8" w:rsidR="00B07D16" w:rsidRPr="00F1669F" w:rsidRDefault="00B07D16" w:rsidP="008F02D7">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Council for Higher Education (CHE) (Israel)</w:t>
      </w:r>
    </w:p>
    <w:p w14:paraId="567E1FE2" w14:textId="33C30B89" w:rsidR="00761F20" w:rsidRPr="00F1669F" w:rsidRDefault="00761F20" w:rsidP="00C5753F">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Hellenic Authority for Higher Education (HAHE) (Greece)</w:t>
      </w:r>
    </w:p>
    <w:p w14:paraId="6F8BD4E8" w14:textId="77777777" w:rsidR="006E2F4C" w:rsidRDefault="006E2F4C" w:rsidP="00F1669F">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t>Medical Education Commission (MEC) (Nepal)</w:t>
      </w:r>
    </w:p>
    <w:p w14:paraId="45C7601C" w14:textId="7353C3CF" w:rsidR="00B07D16" w:rsidRDefault="00B07D16" w:rsidP="00F1669F">
      <w:pPr>
        <w:pStyle w:val="ListParagraph"/>
        <w:numPr>
          <w:ilvl w:val="0"/>
          <w:numId w:val="23"/>
        </w:numPr>
        <w:shd w:val="clear" w:color="auto" w:fill="FFFFFF"/>
        <w:jc w:val="both"/>
        <w:rPr>
          <w:rFonts w:ascii="Arial" w:hAnsi="Arial" w:cs="Arial"/>
          <w:sz w:val="20"/>
          <w:szCs w:val="20"/>
        </w:rPr>
      </w:pPr>
      <w:r>
        <w:rPr>
          <w:rFonts w:ascii="Arial" w:hAnsi="Arial" w:cs="Arial"/>
          <w:sz w:val="20"/>
          <w:szCs w:val="20"/>
        </w:rPr>
        <w:lastRenderedPageBreak/>
        <w:t>Polish Accreditation Committee (PKA) (Poland)</w:t>
      </w:r>
    </w:p>
    <w:p w14:paraId="32A8D22B" w14:textId="1999687D" w:rsidR="00D725A3" w:rsidRPr="006E2F4C" w:rsidRDefault="006E2F4C" w:rsidP="006E2F4C">
      <w:pPr>
        <w:pStyle w:val="ListParagraph"/>
        <w:numPr>
          <w:ilvl w:val="0"/>
          <w:numId w:val="23"/>
        </w:numPr>
        <w:shd w:val="clear" w:color="auto" w:fill="FFFFFF"/>
        <w:jc w:val="both"/>
        <w:rPr>
          <w:rFonts w:ascii="Arial" w:hAnsi="Arial" w:cs="Arial"/>
          <w:sz w:val="20"/>
          <w:szCs w:val="20"/>
        </w:rPr>
      </w:pPr>
      <w:hyperlink r:id="rId18" w:tgtFrame="_blank" w:history="1">
        <w:r w:rsidRPr="006E2F4C">
          <w:rPr>
            <w:sz w:val="20"/>
            <w:szCs w:val="20"/>
          </w:rPr>
          <w:t>National Entity for Accreditation and Quality Assurance in Higher Education of the Republic of Serbia (NEAQA)</w:t>
        </w:r>
      </w:hyperlink>
      <w:r w:rsidRPr="006E2F4C">
        <w:rPr>
          <w:rFonts w:ascii="Arial" w:hAnsi="Arial" w:cs="Arial"/>
          <w:sz w:val="20"/>
          <w:szCs w:val="20"/>
        </w:rPr>
        <w:t> (Serbia)</w:t>
      </w:r>
    </w:p>
    <w:p w14:paraId="2B1B4AAF" w14:textId="029270AB" w:rsidR="006E2F4C" w:rsidRDefault="006E2F4C" w:rsidP="006E2F4C">
      <w:pPr>
        <w:pStyle w:val="ListParagraph"/>
        <w:numPr>
          <w:ilvl w:val="0"/>
          <w:numId w:val="23"/>
        </w:numPr>
        <w:shd w:val="clear" w:color="auto" w:fill="FFFFFF"/>
        <w:jc w:val="both"/>
        <w:rPr>
          <w:rFonts w:ascii="Arial" w:hAnsi="Arial" w:cs="Arial"/>
          <w:sz w:val="20"/>
          <w:szCs w:val="20"/>
        </w:rPr>
      </w:pPr>
      <w:hyperlink r:id="rId19" w:tgtFrame="_blank" w:history="1">
        <w:r w:rsidRPr="006E2F4C">
          <w:rPr>
            <w:sz w:val="20"/>
            <w:szCs w:val="20"/>
          </w:rPr>
          <w:t>National Evaluation and Accreditation Agency (NEAA)</w:t>
        </w:r>
      </w:hyperlink>
      <w:r w:rsidRPr="006E2F4C">
        <w:rPr>
          <w:rFonts w:ascii="Arial" w:hAnsi="Arial" w:cs="Arial"/>
          <w:sz w:val="20"/>
          <w:szCs w:val="20"/>
        </w:rPr>
        <w:t>  (Bulgaria)</w:t>
      </w:r>
    </w:p>
    <w:p w14:paraId="67BB4675" w14:textId="77777777" w:rsidR="006E2F4C" w:rsidRPr="006E2F4C" w:rsidRDefault="006E2F4C" w:rsidP="006E2F4C">
      <w:pPr>
        <w:shd w:val="clear" w:color="auto" w:fill="FFFFFF"/>
        <w:jc w:val="both"/>
        <w:rPr>
          <w:rFonts w:ascii="Arial" w:hAnsi="Arial" w:cs="Arial"/>
          <w:sz w:val="20"/>
          <w:szCs w:val="20"/>
        </w:rPr>
      </w:pPr>
    </w:p>
    <w:p w14:paraId="2C2F94D5" w14:textId="27E53E92" w:rsidR="007622FA" w:rsidRPr="00F1669F" w:rsidRDefault="00D725A3">
      <w:pPr>
        <w:pStyle w:val="NoSpacing"/>
        <w:numPr>
          <w:ilvl w:val="0"/>
          <w:numId w:val="20"/>
        </w:numPr>
      </w:pPr>
      <w:r w:rsidRPr="002E2297">
        <w:rPr>
          <w:rFonts w:ascii="Arial" w:hAnsi="Arial" w:cs="Arial"/>
          <w:sz w:val="20"/>
          <w:szCs w:val="20"/>
        </w:rPr>
        <w:t xml:space="preserve">For more </w:t>
      </w:r>
      <w:r w:rsidR="009A6E0C" w:rsidRPr="002E2297">
        <w:rPr>
          <w:rFonts w:ascii="Arial" w:hAnsi="Arial" w:cs="Arial"/>
          <w:sz w:val="20"/>
          <w:szCs w:val="20"/>
        </w:rPr>
        <w:t>information,</w:t>
      </w:r>
      <w:r w:rsidRPr="002E2297">
        <w:rPr>
          <w:rFonts w:ascii="Arial" w:hAnsi="Arial" w:cs="Arial"/>
          <w:sz w:val="20"/>
          <w:szCs w:val="20"/>
        </w:rPr>
        <w:t xml:space="preserve"> please</w:t>
      </w:r>
      <w:r w:rsidR="000F6B7B" w:rsidRPr="002E2297">
        <w:rPr>
          <w:rFonts w:ascii="Arial" w:hAnsi="Arial" w:cs="Arial"/>
          <w:sz w:val="20"/>
          <w:szCs w:val="20"/>
        </w:rPr>
        <w:t xml:space="preserve"> see </w:t>
      </w:r>
      <w:hyperlink r:id="rId20" w:history="1">
        <w:r w:rsidR="000F6B7B" w:rsidRPr="002E2297">
          <w:rPr>
            <w:rStyle w:val="Hyperlink"/>
            <w:rFonts w:ascii="Arial" w:hAnsi="Arial" w:cs="Arial"/>
            <w:sz w:val="20"/>
            <w:szCs w:val="20"/>
          </w:rPr>
          <w:t>wfme.org/recognition/accrediting-agencies-status/</w:t>
        </w:r>
      </w:hyperlink>
      <w:r w:rsidRPr="002E2297">
        <w:rPr>
          <w:rFonts w:ascii="Arial" w:hAnsi="Arial" w:cs="Arial"/>
          <w:sz w:val="20"/>
          <w:szCs w:val="20"/>
        </w:rPr>
        <w:t xml:space="preserve"> </w:t>
      </w:r>
      <w:r w:rsidR="000F6B7B" w:rsidRPr="002E2297">
        <w:rPr>
          <w:rFonts w:ascii="Arial" w:hAnsi="Arial" w:cs="Arial"/>
          <w:sz w:val="20"/>
          <w:szCs w:val="20"/>
        </w:rPr>
        <w:t xml:space="preserve">or </w:t>
      </w:r>
      <w:r w:rsidRPr="002E2297">
        <w:rPr>
          <w:rFonts w:ascii="Arial" w:hAnsi="Arial" w:cs="Arial"/>
          <w:sz w:val="20"/>
          <w:szCs w:val="20"/>
        </w:rPr>
        <w:t xml:space="preserve">contact WFME at </w:t>
      </w:r>
      <w:hyperlink r:id="rId21" w:history="1">
        <w:r w:rsidRPr="002E2297">
          <w:rPr>
            <w:rStyle w:val="Hyperlink"/>
            <w:rFonts w:ascii="Arial" w:hAnsi="Arial" w:cs="Arial"/>
            <w:sz w:val="20"/>
            <w:szCs w:val="20"/>
          </w:rPr>
          <w:t>accreditation@wfme.org</w:t>
        </w:r>
      </w:hyperlink>
      <w:r w:rsidRPr="002E2297">
        <w:rPr>
          <w:rFonts w:ascii="Arial" w:hAnsi="Arial" w:cs="Arial"/>
          <w:sz w:val="20"/>
          <w:szCs w:val="20"/>
        </w:rPr>
        <w:t>.</w:t>
      </w:r>
    </w:p>
    <w:sectPr w:rsidR="007622FA" w:rsidRPr="00F1669F" w:rsidSect="003232E8">
      <w:headerReference w:type="default" r:id="rId22"/>
      <w:footerReference w:type="default" r:id="rId23"/>
      <w:headerReference w:type="first" r:id="rId24"/>
      <w:footerReference w:type="first" r:id="rId25"/>
      <w:pgSz w:w="11900" w:h="16820" w:code="9"/>
      <w:pgMar w:top="1077" w:right="1134" w:bottom="1701"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9429" w14:textId="77777777" w:rsidR="005A31D0" w:rsidRDefault="005A31D0" w:rsidP="00A77BB8">
      <w:r>
        <w:separator/>
      </w:r>
    </w:p>
  </w:endnote>
  <w:endnote w:type="continuationSeparator" w:id="0">
    <w:p w14:paraId="4A88BA5A" w14:textId="77777777" w:rsidR="005A31D0" w:rsidRDefault="005A31D0" w:rsidP="00A77BB8">
      <w:r>
        <w:continuationSeparator/>
      </w:r>
    </w:p>
  </w:endnote>
  <w:endnote w:type="continuationNotice" w:id="1">
    <w:p w14:paraId="1B618794" w14:textId="77777777" w:rsidR="005A31D0" w:rsidRDefault="005A3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6090" w14:textId="77777777" w:rsidR="00BF2FB9" w:rsidRDefault="009848CF">
    <w:pPr>
      <w:pStyle w:val="Footer"/>
    </w:pPr>
    <w:r>
      <w:rPr>
        <w:noProof/>
        <w:lang w:val="en-US"/>
      </w:rPr>
      <mc:AlternateContent>
        <mc:Choice Requires="wps">
          <w:drawing>
            <wp:anchor distT="0" distB="0" distL="114300" distR="114300" simplePos="0" relativeHeight="251658241" behindDoc="0" locked="0" layoutInCell="1" allowOverlap="1" wp14:anchorId="7E6D5359" wp14:editId="43236BC7">
              <wp:simplePos x="0" y="0"/>
              <wp:positionH relativeFrom="column">
                <wp:posOffset>-728980</wp:posOffset>
              </wp:positionH>
              <wp:positionV relativeFrom="paragraph">
                <wp:posOffset>-189230</wp:posOffset>
              </wp:positionV>
              <wp:extent cx="7595870" cy="35560"/>
              <wp:effectExtent l="0" t="0" r="5080" b="2540"/>
              <wp:wrapNone/>
              <wp:docPr id="10" name="Rectangle 10"/>
              <wp:cNvGraphicFramePr/>
              <a:graphic xmlns:a="http://schemas.openxmlformats.org/drawingml/2006/main">
                <a:graphicData uri="http://schemas.microsoft.com/office/word/2010/wordprocessingShape">
                  <wps:wsp>
                    <wps:cNvSpPr/>
                    <wps:spPr>
                      <a:xfrm>
                        <a:off x="0" y="0"/>
                        <a:ext cx="7595870" cy="35560"/>
                      </a:xfrm>
                      <a:prstGeom prst="rect">
                        <a:avLst/>
                      </a:prstGeom>
                      <a:solidFill>
                        <a:schemeClr val="tx2"/>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5204A" id="Rectangle 10" o:spid="_x0000_s1026" style="position:absolute;margin-left:-57.4pt;margin-top:-14.9pt;width:598.1pt;height:2.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" fillcolor="#20419a [3215]" stroked="f" strokeweight=".25pt"/>
          </w:pict>
        </mc:Fallback>
      </mc:AlternateContent>
    </w:r>
    <w:r>
      <w:rPr>
        <w:noProof/>
        <w:lang w:val="en-US"/>
      </w:rPr>
      <w:drawing>
        <wp:anchor distT="0" distB="0" distL="114300" distR="114300" simplePos="0" relativeHeight="251658240" behindDoc="1" locked="0" layoutInCell="1" allowOverlap="1" wp14:anchorId="40EA813E" wp14:editId="7F6CFA17">
          <wp:simplePos x="0" y="0"/>
          <wp:positionH relativeFrom="column">
            <wp:posOffset>-734060</wp:posOffset>
          </wp:positionH>
          <wp:positionV relativeFrom="paragraph">
            <wp:posOffset>-154623</wp:posOffset>
          </wp:positionV>
          <wp:extent cx="7595870" cy="638810"/>
          <wp:effectExtent l="0" t="0" r="508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background-image-3.png"/>
                  <pic:cNvPicPr/>
                </pic:nvPicPr>
                <pic:blipFill rotWithShape="1">
                  <a:blip r:embed="rId1" cstate="print">
                    <a:extLst>
                      <a:ext uri="{28A0092B-C50C-407E-A947-70E740481C1C}">
                        <a14:useLocalDpi xmlns:a14="http://schemas.microsoft.com/office/drawing/2010/main" val="0"/>
                      </a:ext>
                    </a:extLst>
                  </a:blip>
                  <a:srcRect b="20098"/>
                  <a:stretch/>
                </pic:blipFill>
                <pic:spPr bwMode="auto">
                  <a:xfrm>
                    <a:off x="0" y="0"/>
                    <a:ext cx="7595870" cy="638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60AE" w:rsidRPr="00BF2FB9">
      <w:t>©</w:t>
    </w:r>
    <w:r w:rsidRPr="00BF2FB9">
      <w:t>WFME</w:t>
    </w:r>
    <w:r w:rsidRPr="00BF2FB9">
      <w:tab/>
    </w:r>
    <w:r w:rsidRPr="00BF2FB9">
      <w:fldChar w:fldCharType="begin"/>
    </w:r>
    <w:r w:rsidRPr="00BF2FB9">
      <w:instrText xml:space="preserve"> PAGE   \* MERGEFORMAT </w:instrText>
    </w:r>
    <w:r w:rsidRPr="00BF2FB9">
      <w:fldChar w:fldCharType="separate"/>
    </w:r>
    <w:r w:rsidR="00A30A1D">
      <w:rPr>
        <w:noProof/>
      </w:rPr>
      <w:t>3</w:t>
    </w:r>
    <w:r w:rsidRPr="00BF2FB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5DEA" w14:textId="3C99C664" w:rsidR="00FF2E03" w:rsidRPr="009C4A03" w:rsidRDefault="00FF2E03" w:rsidP="00FF2E03">
    <w:pPr>
      <w:pStyle w:val="Footer"/>
      <w:pBdr>
        <w:bottom w:val="single" w:sz="8" w:space="6" w:color="20419A" w:themeColor="text2"/>
      </w:pBdr>
      <w:rPr>
        <w:lang w:val="fr-FR"/>
      </w:rPr>
    </w:pPr>
    <w:r w:rsidRPr="009C4A03">
      <w:rPr>
        <w:lang w:val="fr-FR"/>
      </w:rPr>
      <w:t>www.wfme.org</w:t>
    </w:r>
    <w:r w:rsidRPr="009C4A03">
      <w:rPr>
        <w:lang w:val="fr-FR"/>
      </w:rPr>
      <w:tab/>
      <w:t>admin@wfme.org</w:t>
    </w:r>
  </w:p>
  <w:p w14:paraId="6B970CEA" w14:textId="704FFD47" w:rsidR="00D908FD" w:rsidRPr="00D908FD" w:rsidRDefault="00D908FD" w:rsidP="00D908FD">
    <w:pPr>
      <w:pStyle w:val="Footer"/>
      <w:jc w:val="center"/>
      <w:rPr>
        <w:rFonts w:ascii="Arial" w:hAnsi="Arial" w:cs="Arial"/>
        <w:sz w:val="12"/>
        <w:szCs w:val="12"/>
      </w:rPr>
    </w:pPr>
    <w:r w:rsidRPr="00D908FD">
      <w:rPr>
        <w:rFonts w:ascii="Arial" w:hAnsi="Arial" w:cs="Arial"/>
        <w:sz w:val="12"/>
        <w:szCs w:val="12"/>
      </w:rPr>
      <w:t>World Federation for Medical Education is registered by the Charity Commission for England and Wales, number 1209907</w:t>
    </w:r>
  </w:p>
  <w:p w14:paraId="3AADB96A" w14:textId="47B4758B" w:rsidR="00BF2FB9" w:rsidRPr="00D908FD" w:rsidRDefault="00D908FD" w:rsidP="00D908FD">
    <w:pPr>
      <w:pStyle w:val="Footer"/>
      <w:jc w:val="center"/>
      <w:rPr>
        <w:rFonts w:ascii="Arial" w:hAnsi="Arial" w:cs="Arial"/>
        <w:sz w:val="12"/>
        <w:szCs w:val="12"/>
      </w:rPr>
    </w:pPr>
    <w:r w:rsidRPr="00D908FD">
      <w:rPr>
        <w:rFonts w:ascii="Arial" w:hAnsi="Arial" w:cs="Arial"/>
        <w:sz w:val="12"/>
        <w:szCs w:val="12"/>
      </w:rPr>
      <w:t>Registered address: 167-169 Great Portland Street, 5th Floor, London, W1W 5PF, United Kingdom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4A9A" w14:textId="77777777" w:rsidR="005A31D0" w:rsidRDefault="005A31D0" w:rsidP="00A77BB8">
      <w:r>
        <w:separator/>
      </w:r>
    </w:p>
  </w:footnote>
  <w:footnote w:type="continuationSeparator" w:id="0">
    <w:p w14:paraId="4ADA503C" w14:textId="77777777" w:rsidR="005A31D0" w:rsidRDefault="005A31D0" w:rsidP="00A77BB8">
      <w:r>
        <w:continuationSeparator/>
      </w:r>
    </w:p>
  </w:footnote>
  <w:footnote w:type="continuationNotice" w:id="1">
    <w:p w14:paraId="54CFEEDB" w14:textId="77777777" w:rsidR="005A31D0" w:rsidRDefault="005A3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37DC" w14:textId="77777777" w:rsidR="00A77BB8" w:rsidRPr="00063F06" w:rsidRDefault="00A77BB8" w:rsidP="00A77BB8">
    <w:pPr>
      <w:pStyle w:val="Header"/>
      <w:spacing w:after="820"/>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FCBD" w14:textId="77777777" w:rsidR="00FF2E03" w:rsidRDefault="00FF2E03" w:rsidP="00FF2E03">
    <w:pPr>
      <w:pStyle w:val="Header"/>
      <w:tabs>
        <w:tab w:val="clear" w:pos="4680"/>
        <w:tab w:val="clear" w:pos="9360"/>
      </w:tabs>
    </w:pPr>
    <w:r>
      <w:rPr>
        <w:noProof/>
        <w:lang w:val="en-US"/>
      </w:rPr>
      <w:drawing>
        <wp:inline distT="0" distB="0" distL="0" distR="0" wp14:anchorId="12C34B01" wp14:editId="69212892">
          <wp:extent cx="6121400" cy="876300"/>
          <wp:effectExtent l="0" t="0" r="0" b="12700"/>
          <wp:docPr id="5" name="Picture 5" descr="WFME%20Masthead%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FME%20Masthead%2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876300"/>
                  </a:xfrm>
                  <a:prstGeom prst="rect">
                    <a:avLst/>
                  </a:prstGeom>
                  <a:noFill/>
                  <a:ln>
                    <a:noFill/>
                  </a:ln>
                </pic:spPr>
              </pic:pic>
            </a:graphicData>
          </a:graphic>
        </wp:inline>
      </w:drawing>
    </w:r>
  </w:p>
  <w:p w14:paraId="5CC8A1DF" w14:textId="77777777" w:rsidR="00FF2E03" w:rsidRPr="00DF648C" w:rsidRDefault="00FF2E03" w:rsidP="00FF2E03">
    <w:pPr>
      <w:pStyle w:val="Header"/>
      <w:tabs>
        <w:tab w:val="clear" w:pos="4680"/>
        <w:tab w:val="clear" w:pos="9360"/>
      </w:tabs>
      <w:jc w:val="center"/>
      <w:rPr>
        <w:color w:val="20419A" w:themeColor="text2"/>
        <w:sz w:val="13"/>
        <w:szCs w:val="13"/>
      </w:rPr>
    </w:pPr>
    <w:r w:rsidRPr="00DF648C">
      <w:rPr>
        <w:color w:val="20419A" w:themeColor="text2"/>
        <w:sz w:val="13"/>
        <w:szCs w:val="1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AA0F2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B0CE03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B36931"/>
    <w:multiLevelType w:val="multilevel"/>
    <w:tmpl w:val="7BE0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87FC6"/>
    <w:multiLevelType w:val="multilevel"/>
    <w:tmpl w:val="E47E644E"/>
    <w:lvl w:ilvl="0">
      <w:start w:val="1"/>
      <w:numFmt w:val="none"/>
      <w:lvlText w:val="1."/>
      <w:lvlJc w:val="left"/>
      <w:pPr>
        <w:ind w:left="360" w:hanging="360"/>
      </w:pPr>
      <w:rPr>
        <w:rFonts w:ascii="Arial" w:hAnsi="Arial" w:hint="default"/>
        <w:b/>
        <w:i w:val="0"/>
        <w:color w:val="20419A" w:themeColor="text2"/>
        <w:sz w:val="22"/>
      </w:rPr>
    </w:lvl>
    <w:lvl w:ilvl="1">
      <w:start w:val="1"/>
      <w:numFmt w:val="decimal"/>
      <w:lvlText w:val="%2.1"/>
      <w:lvlJc w:val="left"/>
      <w:pPr>
        <w:ind w:left="720" w:hanging="360"/>
      </w:pPr>
      <w:rPr>
        <w:rFonts w:ascii="Arial" w:hAnsi="Arial" w:hint="default"/>
        <w:b/>
        <w:i w:val="0"/>
        <w:color w:val="20419A" w:themeColor="text2"/>
        <w:sz w:val="22"/>
      </w:rPr>
    </w:lvl>
    <w:lvl w:ilvl="2">
      <w:start w:val="1"/>
      <w:numFmt w:val="none"/>
      <w:lvlText w:val="1.1.1"/>
      <w:lvlJc w:val="left"/>
      <w:pPr>
        <w:ind w:left="1080" w:hanging="360"/>
      </w:pPr>
      <w:rPr>
        <w:rFonts w:ascii="Arial" w:hAnsi="Arial" w:hint="default"/>
        <w:b/>
        <w:i w:val="0"/>
        <w:color w:val="20419A" w:themeColor="text2"/>
        <w:sz w:val="22"/>
      </w:rPr>
    </w:lvl>
    <w:lvl w:ilvl="3">
      <w:start w:val="1"/>
      <w:numFmt w:val="lowerRoman"/>
      <w:lvlText w:val="%4."/>
      <w:lvlJc w:val="left"/>
      <w:pPr>
        <w:ind w:left="1440" w:hanging="360"/>
      </w:pPr>
      <w:rPr>
        <w:rFonts w:ascii="Arial" w:hAnsi="Arial" w:hint="default"/>
        <w:b/>
        <w:i w:val="0"/>
        <w:color w:val="20419A" w:themeColor="text2"/>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D34DF4"/>
    <w:multiLevelType w:val="multilevel"/>
    <w:tmpl w:val="C19E72D2"/>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00845E1"/>
    <w:multiLevelType w:val="multilevel"/>
    <w:tmpl w:val="724086FE"/>
    <w:lvl w:ilvl="0">
      <w:start w:val="1"/>
      <w:numFmt w:val="bullet"/>
      <w:pStyle w:val="ListBullet"/>
      <w:lvlText w:val="•"/>
      <w:lvlJc w:val="left"/>
      <w:pPr>
        <w:ind w:left="720" w:hanging="360"/>
      </w:pPr>
      <w:rPr>
        <w:rFonts w:ascii="Arial" w:hAnsi="Arial" w:hint="default"/>
        <w:color w:val="20419A" w:themeColor="text2"/>
        <w:sz w:val="22"/>
      </w:rPr>
    </w:lvl>
    <w:lvl w:ilvl="1">
      <w:start w:val="1"/>
      <w:numFmt w:val="bullet"/>
      <w:pStyle w:val="ListBullet2"/>
      <w:lvlText w:val="-"/>
      <w:lvlJc w:val="left"/>
      <w:pPr>
        <w:ind w:left="1440" w:hanging="360"/>
      </w:pPr>
      <w:rPr>
        <w:rFonts w:ascii="Arial" w:hAnsi="Arial" w:hint="default"/>
        <w:color w:val="20419A" w:themeColor="text2"/>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CF32EE"/>
    <w:multiLevelType w:val="hybridMultilevel"/>
    <w:tmpl w:val="AEAC76DA"/>
    <w:lvl w:ilvl="0" w:tplc="D428C23A">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3424F6"/>
    <w:multiLevelType w:val="multilevel"/>
    <w:tmpl w:val="34F061AC"/>
    <w:lvl w:ilvl="0">
      <w:start w:val="1"/>
      <w:numFmt w:val="decimal"/>
      <w:lvlText w:val="%1"/>
      <w:lvlJc w:val="left"/>
      <w:pPr>
        <w:ind w:left="432" w:hanging="432"/>
      </w:pPr>
      <w:rPr>
        <w:rFonts w:ascii="Arial" w:hAnsi="Arial" w:hint="default"/>
        <w:b/>
        <w:i w:val="0"/>
        <w:color w:val="20419A" w:themeColor="text2"/>
        <w:sz w:val="22"/>
      </w:rPr>
    </w:lvl>
    <w:lvl w:ilvl="1">
      <w:start w:val="1"/>
      <w:numFmt w:val="decimal"/>
      <w:lvlText w:val="%1.%2"/>
      <w:lvlJc w:val="left"/>
      <w:pPr>
        <w:ind w:left="576" w:hanging="576"/>
      </w:pPr>
      <w:rPr>
        <w:rFonts w:ascii="Arial" w:hAnsi="Arial" w:hint="default"/>
        <w:b/>
        <w:i w:val="0"/>
        <w:color w:val="20419A" w:themeColor="text2"/>
        <w:sz w:val="22"/>
      </w:rPr>
    </w:lvl>
    <w:lvl w:ilvl="2">
      <w:start w:val="1"/>
      <w:numFmt w:val="decimal"/>
      <w:lvlText w:val="%1.%2.%3"/>
      <w:lvlJc w:val="left"/>
      <w:pPr>
        <w:ind w:left="720" w:hanging="720"/>
      </w:pPr>
      <w:rPr>
        <w:rFonts w:ascii="Arial" w:hAnsi="Arial" w:hint="default"/>
        <w:b/>
        <w:i w:val="0"/>
        <w:color w:val="20419A" w:themeColor="text2"/>
        <w:sz w:val="22"/>
      </w:rPr>
    </w:lvl>
    <w:lvl w:ilvl="3">
      <w:start w:val="1"/>
      <w:numFmt w:val="decimal"/>
      <w:lvlText w:val="%1.%2.%3.%4"/>
      <w:lvlJc w:val="left"/>
      <w:pPr>
        <w:ind w:left="864" w:hanging="864"/>
      </w:pPr>
      <w:rPr>
        <w:rFonts w:ascii="Arial" w:hAnsi="Arial" w:hint="default"/>
        <w:b/>
        <w:i w:val="0"/>
        <w:color w:val="20419A" w:themeColor="text2"/>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484369"/>
    <w:multiLevelType w:val="hybridMultilevel"/>
    <w:tmpl w:val="1E446A16"/>
    <w:lvl w:ilvl="0" w:tplc="40C2B60C">
      <w:start w:val="1"/>
      <w:numFmt w:val="decimal"/>
      <w:lvlText w:val="1.1.%1."/>
      <w:lvlJc w:val="left"/>
      <w:pPr>
        <w:ind w:left="1298" w:hanging="360"/>
      </w:pPr>
      <w:rPr>
        <w:rFonts w:ascii="Arial" w:hAnsi="Arial" w:hint="default"/>
        <w:b/>
        <w:bCs w:val="0"/>
        <w:i w:val="0"/>
        <w:iCs w:val="0"/>
        <w:caps w:val="0"/>
        <w:smallCaps w:val="0"/>
        <w:strike w:val="0"/>
        <w:dstrike w:val="0"/>
        <w:noProof w:val="0"/>
        <w:vanish w:val="0"/>
        <w:color w:val="20419A" w:themeColor="text2"/>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BD503E7"/>
    <w:multiLevelType w:val="hybridMultilevel"/>
    <w:tmpl w:val="13981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D0574F"/>
    <w:multiLevelType w:val="hybridMultilevel"/>
    <w:tmpl w:val="8558E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606687"/>
    <w:multiLevelType w:val="multilevel"/>
    <w:tmpl w:val="E47E644E"/>
    <w:lvl w:ilvl="0">
      <w:start w:val="1"/>
      <w:numFmt w:val="none"/>
      <w:lvlText w:val="1."/>
      <w:lvlJc w:val="left"/>
      <w:pPr>
        <w:ind w:left="360" w:hanging="360"/>
      </w:pPr>
      <w:rPr>
        <w:rFonts w:ascii="Arial" w:hAnsi="Arial" w:hint="default"/>
        <w:b/>
        <w:i w:val="0"/>
        <w:color w:val="20419A" w:themeColor="text2"/>
        <w:sz w:val="22"/>
      </w:rPr>
    </w:lvl>
    <w:lvl w:ilvl="1">
      <w:start w:val="1"/>
      <w:numFmt w:val="decimal"/>
      <w:lvlText w:val="%2.1"/>
      <w:lvlJc w:val="left"/>
      <w:pPr>
        <w:ind w:left="720" w:hanging="360"/>
      </w:pPr>
      <w:rPr>
        <w:rFonts w:ascii="Arial" w:hAnsi="Arial" w:hint="default"/>
        <w:b/>
        <w:i w:val="0"/>
        <w:color w:val="20419A" w:themeColor="text2"/>
        <w:sz w:val="22"/>
      </w:rPr>
    </w:lvl>
    <w:lvl w:ilvl="2">
      <w:start w:val="1"/>
      <w:numFmt w:val="none"/>
      <w:lvlText w:val="1.1.1"/>
      <w:lvlJc w:val="left"/>
      <w:pPr>
        <w:ind w:left="1080" w:hanging="360"/>
      </w:pPr>
      <w:rPr>
        <w:rFonts w:ascii="Arial" w:hAnsi="Arial" w:hint="default"/>
        <w:b/>
        <w:i w:val="0"/>
        <w:color w:val="20419A" w:themeColor="text2"/>
        <w:sz w:val="22"/>
      </w:rPr>
    </w:lvl>
    <w:lvl w:ilvl="3">
      <w:start w:val="1"/>
      <w:numFmt w:val="lowerRoman"/>
      <w:lvlText w:val="%4."/>
      <w:lvlJc w:val="left"/>
      <w:pPr>
        <w:ind w:left="1440" w:hanging="360"/>
      </w:pPr>
      <w:rPr>
        <w:rFonts w:ascii="Arial" w:hAnsi="Arial" w:hint="default"/>
        <w:b/>
        <w:i w:val="0"/>
        <w:color w:val="20419A" w:themeColor="text2"/>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73976F0"/>
    <w:multiLevelType w:val="hybridMultilevel"/>
    <w:tmpl w:val="56128BAC"/>
    <w:lvl w:ilvl="0" w:tplc="737AACA6">
      <w:start w:val="1"/>
      <w:numFmt w:val="decimal"/>
      <w:lvlText w:val="1.%1"/>
      <w:lvlJc w:val="left"/>
      <w:pPr>
        <w:ind w:left="720" w:hanging="360"/>
      </w:pPr>
      <w:rPr>
        <w:rFonts w:ascii="Arial" w:hAnsi="Arial" w:hint="default"/>
        <w:b/>
        <w:i w:val="0"/>
        <w:color w:val="20419A" w:themeColor="text2"/>
        <w:sz w:val="22"/>
      </w:rPr>
    </w:lvl>
    <w:lvl w:ilvl="1" w:tplc="7882AF1A">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AF05F6"/>
    <w:multiLevelType w:val="singleLevel"/>
    <w:tmpl w:val="69148CC0"/>
    <w:lvl w:ilvl="0">
      <w:start w:val="1"/>
      <w:numFmt w:val="decimal"/>
      <w:lvlText w:val="%1."/>
      <w:lvlJc w:val="left"/>
      <w:pPr>
        <w:ind w:left="360" w:hanging="360"/>
      </w:pPr>
      <w:rPr>
        <w:rFonts w:ascii="Arial" w:hAnsi="Arial" w:hint="default"/>
        <w:b/>
        <w:i w:val="0"/>
        <w:color w:val="20419A" w:themeColor="text2"/>
        <w:sz w:val="22"/>
      </w:rPr>
    </w:lvl>
  </w:abstractNum>
  <w:abstractNum w:abstractNumId="14" w15:restartNumberingAfterBreak="0">
    <w:nsid w:val="29FE3C7F"/>
    <w:multiLevelType w:val="multilevel"/>
    <w:tmpl w:val="3D50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5256F"/>
    <w:multiLevelType w:val="hybridMultilevel"/>
    <w:tmpl w:val="4AA02B9E"/>
    <w:lvl w:ilvl="0" w:tplc="D6A63328">
      <w:start w:val="1"/>
      <w:numFmt w:val="decimal"/>
      <w:lvlText w:val="1.1.%1."/>
      <w:lvlJc w:val="left"/>
      <w:pPr>
        <w:ind w:left="1298" w:hanging="360"/>
      </w:pPr>
      <w:rPr>
        <w:rFonts w:ascii="Arial" w:hAnsi="Arial" w:hint="default"/>
        <w:b/>
        <w:bCs w:val="0"/>
        <w:i w:val="0"/>
        <w:iCs w:val="0"/>
        <w:caps w:val="0"/>
        <w:smallCaps w:val="0"/>
        <w:strike w:val="0"/>
        <w:dstrike w:val="0"/>
        <w:noProof w:val="0"/>
        <w:vanish w:val="0"/>
        <w:color w:val="20419A" w:themeColor="text2"/>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7D34A2F"/>
    <w:multiLevelType w:val="multilevel"/>
    <w:tmpl w:val="7638D572"/>
    <w:styleLink w:val="Style1"/>
    <w:lvl w:ilvl="0">
      <w:start w:val="1"/>
      <w:numFmt w:val="decimal"/>
      <w:lvlText w:val="%1"/>
      <w:lvlJc w:val="left"/>
      <w:pPr>
        <w:ind w:left="432" w:hanging="432"/>
      </w:pPr>
      <w:rPr>
        <w:rFonts w:ascii="Arial" w:hAnsi="Arial" w:hint="default"/>
        <w:b/>
        <w:i w:val="0"/>
        <w:color w:val="20419A" w:themeColor="text2"/>
        <w:sz w:val="22"/>
      </w:rPr>
    </w:lvl>
    <w:lvl w:ilvl="1">
      <w:start w:val="1"/>
      <w:numFmt w:val="decimal"/>
      <w:lvlText w:val="%1.%2"/>
      <w:lvlJc w:val="left"/>
      <w:pPr>
        <w:ind w:left="576" w:hanging="576"/>
      </w:pPr>
      <w:rPr>
        <w:rFonts w:ascii="Arial" w:hAnsi="Arial" w:hint="default"/>
        <w:b/>
        <w:i w:val="0"/>
        <w:color w:val="20419A" w:themeColor="text2"/>
        <w:sz w:val="22"/>
      </w:rPr>
    </w:lvl>
    <w:lvl w:ilvl="2">
      <w:start w:val="1"/>
      <w:numFmt w:val="decimal"/>
      <w:lvlText w:val="%1.%2.%3"/>
      <w:lvlJc w:val="left"/>
      <w:pPr>
        <w:ind w:left="720" w:hanging="720"/>
      </w:pPr>
      <w:rPr>
        <w:rFonts w:ascii="Arial" w:hAnsi="Arial" w:hint="default"/>
        <w:b/>
        <w:i w:val="0"/>
        <w:color w:val="20419A" w:themeColor="text2"/>
        <w:sz w:val="22"/>
      </w:rPr>
    </w:lvl>
    <w:lvl w:ilvl="3">
      <w:start w:val="1"/>
      <w:numFmt w:val="decimal"/>
      <w:lvlText w:val="%1.%2.%3.%4"/>
      <w:lvlJc w:val="left"/>
      <w:pPr>
        <w:ind w:left="864" w:hanging="864"/>
      </w:pPr>
      <w:rPr>
        <w:rFonts w:ascii="Arial" w:hAnsi="Arial" w:hint="default"/>
        <w:b/>
        <w:i w:val="0"/>
        <w:color w:val="20419A" w:themeColor="text2"/>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BD653F1"/>
    <w:multiLevelType w:val="multilevel"/>
    <w:tmpl w:val="1360979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8C74C0"/>
    <w:multiLevelType w:val="hybridMultilevel"/>
    <w:tmpl w:val="7F6CE6A4"/>
    <w:lvl w:ilvl="0" w:tplc="BBE0F408">
      <w:start w:val="1"/>
      <w:numFmt w:val="decimal"/>
      <w:lvlText w:val="1.%1"/>
      <w:lvlJc w:val="left"/>
      <w:pPr>
        <w:ind w:left="720" w:hanging="360"/>
      </w:pPr>
      <w:rPr>
        <w:rFonts w:ascii="Arial" w:hAnsi="Arial" w:hint="default"/>
        <w:b/>
        <w:i w:val="0"/>
        <w:color w:val="20419A" w:themeColor="text2"/>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E318A"/>
    <w:multiLevelType w:val="hybridMultilevel"/>
    <w:tmpl w:val="1026DCE0"/>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22829C6"/>
    <w:multiLevelType w:val="multilevel"/>
    <w:tmpl w:val="E9A4E39E"/>
    <w:styleLink w:val="wfmenumbers"/>
    <w:lvl w:ilvl="0">
      <w:start w:val="1"/>
      <w:numFmt w:val="decimal"/>
      <w:pStyle w:val="Heading1"/>
      <w:lvlText w:val="%1."/>
      <w:lvlJc w:val="left"/>
      <w:pPr>
        <w:ind w:left="360" w:hanging="360"/>
      </w:pPr>
      <w:rPr>
        <w:rFonts w:ascii="Arial" w:hAnsi="Arial" w:hint="default"/>
        <w:b/>
        <w:i w:val="0"/>
        <w:color w:val="20419A" w:themeColor="text2"/>
        <w:sz w:val="22"/>
      </w:rPr>
    </w:lvl>
    <w:lvl w:ilvl="1">
      <w:start w:val="1"/>
      <w:numFmt w:val="decimal"/>
      <w:pStyle w:val="Heading2"/>
      <w:lvlText w:val="%1.%2."/>
      <w:lvlJc w:val="left"/>
      <w:pPr>
        <w:ind w:left="792" w:hanging="432"/>
      </w:pPr>
      <w:rPr>
        <w:rFonts w:ascii="Arial" w:hAnsi="Arial" w:hint="default"/>
        <w:b/>
        <w:i w:val="0"/>
        <w:color w:val="20419A" w:themeColor="text2"/>
        <w:sz w:val="22"/>
      </w:rPr>
    </w:lvl>
    <w:lvl w:ilvl="2">
      <w:start w:val="1"/>
      <w:numFmt w:val="decimal"/>
      <w:pStyle w:val="Heading3"/>
      <w:lvlText w:val="%1.%2.%3."/>
      <w:lvlJc w:val="left"/>
      <w:pPr>
        <w:ind w:left="1224" w:hanging="504"/>
      </w:pPr>
      <w:rPr>
        <w:rFonts w:ascii="Arial" w:hAnsi="Arial" w:hint="default"/>
        <w:b/>
        <w:i w:val="0"/>
        <w:color w:val="20419A" w:themeColor="text2"/>
        <w:sz w:val="22"/>
      </w:rPr>
    </w:lvl>
    <w:lvl w:ilvl="3">
      <w:start w:val="1"/>
      <w:numFmt w:val="decimal"/>
      <w:lvlText w:val="%1.%2.%3.%4."/>
      <w:lvlJc w:val="left"/>
      <w:pPr>
        <w:ind w:left="1728" w:hanging="648"/>
      </w:pPr>
      <w:rPr>
        <w:rFonts w:ascii="Arial" w:hAnsi="Arial" w:hint="default"/>
        <w:b/>
        <w:i w:val="0"/>
        <w:color w:val="20419A" w:themeColor="text2"/>
        <w:sz w:val="22"/>
      </w:rPr>
    </w:lvl>
    <w:lvl w:ilvl="4">
      <w:start w:val="1"/>
      <w:numFmt w:val="decimal"/>
      <w:lvlText w:val="%1.%2.%3.%4.%5."/>
      <w:lvlJc w:val="left"/>
      <w:pPr>
        <w:ind w:left="2232" w:hanging="792"/>
      </w:pPr>
      <w:rPr>
        <w:rFonts w:ascii="Arial" w:hAnsi="Arial" w:hint="default"/>
        <w:b/>
        <w:i w:val="0"/>
        <w:color w:val="20419A" w:themeColor="text2"/>
        <w:sz w:val="22"/>
      </w:rPr>
    </w:lvl>
    <w:lvl w:ilvl="5">
      <w:start w:val="1"/>
      <w:numFmt w:val="decimal"/>
      <w:lvlText w:val="%1.%2.%3.%4.%5.%6."/>
      <w:lvlJc w:val="left"/>
      <w:pPr>
        <w:ind w:left="2736" w:hanging="936"/>
      </w:pPr>
      <w:rPr>
        <w:rFonts w:ascii="Arial" w:hAnsi="Arial" w:hint="default"/>
        <w:b/>
        <w:i w:val="0"/>
        <w:color w:val="20419A" w:themeColor="text2"/>
        <w:sz w:val="22"/>
      </w:rPr>
    </w:lvl>
    <w:lvl w:ilvl="6">
      <w:start w:val="1"/>
      <w:numFmt w:val="decimal"/>
      <w:lvlText w:val="%1.%2.%3.%4.%5.%6.%7."/>
      <w:lvlJc w:val="left"/>
      <w:pPr>
        <w:ind w:left="3240" w:hanging="1080"/>
      </w:pPr>
      <w:rPr>
        <w:rFonts w:ascii="Arial" w:hAnsi="Arial" w:hint="default"/>
        <w:b/>
        <w:i w:val="0"/>
        <w:color w:val="20419A" w:themeColor="text2"/>
        <w:sz w:val="22"/>
      </w:rPr>
    </w:lvl>
    <w:lvl w:ilvl="7">
      <w:start w:val="1"/>
      <w:numFmt w:val="decimal"/>
      <w:lvlText w:val="%1.%2.%3.%4.%5.%6.%7.%8."/>
      <w:lvlJc w:val="left"/>
      <w:pPr>
        <w:ind w:left="3744" w:hanging="1224"/>
      </w:pPr>
      <w:rPr>
        <w:rFonts w:ascii="Arial" w:hAnsi="Arial" w:hint="default"/>
        <w:b/>
        <w:i w:val="0"/>
        <w:color w:val="20419A" w:themeColor="text2"/>
        <w:sz w:val="22"/>
      </w:rPr>
    </w:lvl>
    <w:lvl w:ilvl="8">
      <w:start w:val="1"/>
      <w:numFmt w:val="decimal"/>
      <w:lvlText w:val="%1.%2.%3.%4.%5.%6.%7.%8.%9."/>
      <w:lvlJc w:val="left"/>
      <w:pPr>
        <w:ind w:left="4320" w:hanging="1440"/>
      </w:pPr>
      <w:rPr>
        <w:rFonts w:ascii="Arial" w:hAnsi="Arial" w:hint="default"/>
        <w:b/>
        <w:i w:val="0"/>
        <w:color w:val="20419A" w:themeColor="text2"/>
        <w:sz w:val="22"/>
      </w:rPr>
    </w:lvl>
  </w:abstractNum>
  <w:abstractNum w:abstractNumId="21" w15:restartNumberingAfterBreak="0">
    <w:nsid w:val="4244632C"/>
    <w:multiLevelType w:val="multilevel"/>
    <w:tmpl w:val="B874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C5B7C"/>
    <w:multiLevelType w:val="hybridMultilevel"/>
    <w:tmpl w:val="3508D84C"/>
    <w:lvl w:ilvl="0" w:tplc="1DEEB53C">
      <w:start w:val="1"/>
      <w:numFmt w:val="bullet"/>
      <w:lvlText w:val="•"/>
      <w:lvlJc w:val="left"/>
      <w:pPr>
        <w:ind w:left="720" w:hanging="360"/>
      </w:pPr>
      <w:rPr>
        <w:rFonts w:ascii="Arial" w:hAnsi="Arial" w:hint="default"/>
        <w:color w:val="20419A" w:themeColor="text2"/>
        <w:sz w:val="22"/>
      </w:rPr>
    </w:lvl>
    <w:lvl w:ilvl="1" w:tplc="3F446C44">
      <w:start w:val="1"/>
      <w:numFmt w:val="bullet"/>
      <w:lvlText w:val="o"/>
      <w:lvlJc w:val="left"/>
      <w:pPr>
        <w:ind w:left="1440" w:hanging="360"/>
      </w:pPr>
      <w:rPr>
        <w:rFonts w:ascii="Courier New" w:hAnsi="Courier New" w:cs="Courier New" w:hint="default"/>
      </w:rPr>
    </w:lvl>
    <w:lvl w:ilvl="2" w:tplc="FFDE8974" w:tentative="1">
      <w:start w:val="1"/>
      <w:numFmt w:val="bullet"/>
      <w:lvlText w:val=""/>
      <w:lvlJc w:val="left"/>
      <w:pPr>
        <w:ind w:left="2160" w:hanging="360"/>
      </w:pPr>
      <w:rPr>
        <w:rFonts w:ascii="Wingdings" w:hAnsi="Wingdings" w:hint="default"/>
      </w:rPr>
    </w:lvl>
    <w:lvl w:ilvl="3" w:tplc="AAA05606" w:tentative="1">
      <w:start w:val="1"/>
      <w:numFmt w:val="bullet"/>
      <w:lvlText w:val=""/>
      <w:lvlJc w:val="left"/>
      <w:pPr>
        <w:ind w:left="2880" w:hanging="360"/>
      </w:pPr>
      <w:rPr>
        <w:rFonts w:ascii="Symbol" w:hAnsi="Symbol" w:hint="default"/>
      </w:rPr>
    </w:lvl>
    <w:lvl w:ilvl="4" w:tplc="9E1C35AC" w:tentative="1">
      <w:start w:val="1"/>
      <w:numFmt w:val="bullet"/>
      <w:lvlText w:val="o"/>
      <w:lvlJc w:val="left"/>
      <w:pPr>
        <w:ind w:left="3600" w:hanging="360"/>
      </w:pPr>
      <w:rPr>
        <w:rFonts w:ascii="Courier New" w:hAnsi="Courier New" w:cs="Courier New" w:hint="default"/>
      </w:rPr>
    </w:lvl>
    <w:lvl w:ilvl="5" w:tplc="5FC2256A" w:tentative="1">
      <w:start w:val="1"/>
      <w:numFmt w:val="bullet"/>
      <w:lvlText w:val=""/>
      <w:lvlJc w:val="left"/>
      <w:pPr>
        <w:ind w:left="4320" w:hanging="360"/>
      </w:pPr>
      <w:rPr>
        <w:rFonts w:ascii="Wingdings" w:hAnsi="Wingdings" w:hint="default"/>
      </w:rPr>
    </w:lvl>
    <w:lvl w:ilvl="6" w:tplc="DD1ABBF4" w:tentative="1">
      <w:start w:val="1"/>
      <w:numFmt w:val="bullet"/>
      <w:lvlText w:val=""/>
      <w:lvlJc w:val="left"/>
      <w:pPr>
        <w:ind w:left="5040" w:hanging="360"/>
      </w:pPr>
      <w:rPr>
        <w:rFonts w:ascii="Symbol" w:hAnsi="Symbol" w:hint="default"/>
      </w:rPr>
    </w:lvl>
    <w:lvl w:ilvl="7" w:tplc="36FA7C68" w:tentative="1">
      <w:start w:val="1"/>
      <w:numFmt w:val="bullet"/>
      <w:lvlText w:val="o"/>
      <w:lvlJc w:val="left"/>
      <w:pPr>
        <w:ind w:left="5760" w:hanging="360"/>
      </w:pPr>
      <w:rPr>
        <w:rFonts w:ascii="Courier New" w:hAnsi="Courier New" w:cs="Courier New" w:hint="default"/>
      </w:rPr>
    </w:lvl>
    <w:lvl w:ilvl="8" w:tplc="04C66B06" w:tentative="1">
      <w:start w:val="1"/>
      <w:numFmt w:val="bullet"/>
      <w:lvlText w:val=""/>
      <w:lvlJc w:val="left"/>
      <w:pPr>
        <w:ind w:left="6480" w:hanging="360"/>
      </w:pPr>
      <w:rPr>
        <w:rFonts w:ascii="Wingdings" w:hAnsi="Wingdings" w:hint="default"/>
      </w:rPr>
    </w:lvl>
  </w:abstractNum>
  <w:abstractNum w:abstractNumId="23" w15:restartNumberingAfterBreak="0">
    <w:nsid w:val="4D8366F6"/>
    <w:multiLevelType w:val="multilevel"/>
    <w:tmpl w:val="B644EA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6B01CF"/>
    <w:multiLevelType w:val="multilevel"/>
    <w:tmpl w:val="E9A4E39E"/>
    <w:numStyleLink w:val="wfmenumbers"/>
  </w:abstractNum>
  <w:abstractNum w:abstractNumId="25" w15:restartNumberingAfterBreak="0">
    <w:nsid w:val="63B67C34"/>
    <w:multiLevelType w:val="hybridMultilevel"/>
    <w:tmpl w:val="61D45C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4245B95"/>
    <w:multiLevelType w:val="hybridMultilevel"/>
    <w:tmpl w:val="C93442C8"/>
    <w:lvl w:ilvl="0" w:tplc="0809000F">
      <w:start w:val="1"/>
      <w:numFmt w:val="decimal"/>
      <w:lvlText w:val="%1."/>
      <w:lvlJc w:val="left"/>
      <w:pPr>
        <w:ind w:left="720" w:hanging="360"/>
      </w:pPr>
    </w:lvl>
    <w:lvl w:ilvl="1" w:tplc="68AC044C">
      <w:start w:val="1"/>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76568">
    <w:abstractNumId w:val="22"/>
  </w:num>
  <w:num w:numId="2" w16cid:durableId="2127892112">
    <w:abstractNumId w:val="1"/>
  </w:num>
  <w:num w:numId="3" w16cid:durableId="421342859">
    <w:abstractNumId w:val="0"/>
  </w:num>
  <w:num w:numId="4" w16cid:durableId="373384860">
    <w:abstractNumId w:val="5"/>
  </w:num>
  <w:num w:numId="5" w16cid:durableId="2001689310">
    <w:abstractNumId w:val="4"/>
  </w:num>
  <w:num w:numId="6" w16cid:durableId="1222671946">
    <w:abstractNumId w:val="16"/>
  </w:num>
  <w:num w:numId="7" w16cid:durableId="2132085510">
    <w:abstractNumId w:val="7"/>
  </w:num>
  <w:num w:numId="8" w16cid:durableId="1338464870">
    <w:abstractNumId w:val="11"/>
  </w:num>
  <w:num w:numId="9" w16cid:durableId="1216550119">
    <w:abstractNumId w:val="3"/>
  </w:num>
  <w:num w:numId="10" w16cid:durableId="1000741702">
    <w:abstractNumId w:val="10"/>
  </w:num>
  <w:num w:numId="11" w16cid:durableId="2090686849">
    <w:abstractNumId w:val="13"/>
  </w:num>
  <w:num w:numId="12" w16cid:durableId="1547641056">
    <w:abstractNumId w:val="18"/>
  </w:num>
  <w:num w:numId="13" w16cid:durableId="1739402484">
    <w:abstractNumId w:val="12"/>
  </w:num>
  <w:num w:numId="14" w16cid:durableId="634064080">
    <w:abstractNumId w:val="8"/>
  </w:num>
  <w:num w:numId="15" w16cid:durableId="1304194072">
    <w:abstractNumId w:val="23"/>
  </w:num>
  <w:num w:numId="16" w16cid:durableId="1252734431">
    <w:abstractNumId w:val="15"/>
  </w:num>
  <w:num w:numId="17" w16cid:durableId="1695379464">
    <w:abstractNumId w:val="17"/>
  </w:num>
  <w:num w:numId="18" w16cid:durableId="1313945076">
    <w:abstractNumId w:val="20"/>
  </w:num>
  <w:num w:numId="19" w16cid:durableId="936867202">
    <w:abstractNumId w:val="24"/>
  </w:num>
  <w:num w:numId="20" w16cid:durableId="1942252721">
    <w:abstractNumId w:val="26"/>
  </w:num>
  <w:num w:numId="21" w16cid:durableId="1190875707">
    <w:abstractNumId w:val="25"/>
  </w:num>
  <w:num w:numId="22" w16cid:durableId="2031301483">
    <w:abstractNumId w:val="9"/>
  </w:num>
  <w:num w:numId="23" w16cid:durableId="575481885">
    <w:abstractNumId w:val="19"/>
  </w:num>
  <w:num w:numId="24" w16cid:durableId="589311208">
    <w:abstractNumId w:val="6"/>
  </w:num>
  <w:num w:numId="25" w16cid:durableId="926499682">
    <w:abstractNumId w:val="21"/>
  </w:num>
  <w:num w:numId="26" w16cid:durableId="1399553977">
    <w:abstractNumId w:val="2"/>
  </w:num>
  <w:num w:numId="27" w16cid:durableId="14522839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5A3"/>
    <w:rsid w:val="00003281"/>
    <w:rsid w:val="000037C5"/>
    <w:rsid w:val="000133D0"/>
    <w:rsid w:val="00021631"/>
    <w:rsid w:val="000242D9"/>
    <w:rsid w:val="00050AAF"/>
    <w:rsid w:val="00063F06"/>
    <w:rsid w:val="000720F7"/>
    <w:rsid w:val="00080048"/>
    <w:rsid w:val="000815C4"/>
    <w:rsid w:val="00091548"/>
    <w:rsid w:val="00092DA8"/>
    <w:rsid w:val="000941AF"/>
    <w:rsid w:val="000B0DBD"/>
    <w:rsid w:val="000B31EE"/>
    <w:rsid w:val="000B52E6"/>
    <w:rsid w:val="000C6242"/>
    <w:rsid w:val="000E25B9"/>
    <w:rsid w:val="000E4408"/>
    <w:rsid w:val="000E6935"/>
    <w:rsid w:val="000F5504"/>
    <w:rsid w:val="000F6B7B"/>
    <w:rsid w:val="00104941"/>
    <w:rsid w:val="0012045E"/>
    <w:rsid w:val="001236A7"/>
    <w:rsid w:val="0012722D"/>
    <w:rsid w:val="00156AF3"/>
    <w:rsid w:val="001669D1"/>
    <w:rsid w:val="00166CD9"/>
    <w:rsid w:val="00174F95"/>
    <w:rsid w:val="00183858"/>
    <w:rsid w:val="001A1374"/>
    <w:rsid w:val="001A5AFE"/>
    <w:rsid w:val="001B71BD"/>
    <w:rsid w:val="001C15AD"/>
    <w:rsid w:val="001C74F7"/>
    <w:rsid w:val="001E73C7"/>
    <w:rsid w:val="001F46C0"/>
    <w:rsid w:val="001F61A8"/>
    <w:rsid w:val="0020141C"/>
    <w:rsid w:val="00220FDA"/>
    <w:rsid w:val="0022455A"/>
    <w:rsid w:val="00224F76"/>
    <w:rsid w:val="0025178B"/>
    <w:rsid w:val="00262982"/>
    <w:rsid w:val="00270496"/>
    <w:rsid w:val="002845CC"/>
    <w:rsid w:val="00294C12"/>
    <w:rsid w:val="00295456"/>
    <w:rsid w:val="002A11CE"/>
    <w:rsid w:val="002A7E77"/>
    <w:rsid w:val="002B06DB"/>
    <w:rsid w:val="002B5FA5"/>
    <w:rsid w:val="002B6243"/>
    <w:rsid w:val="002C49D8"/>
    <w:rsid w:val="002D14E0"/>
    <w:rsid w:val="002D7BB2"/>
    <w:rsid w:val="002E2297"/>
    <w:rsid w:val="00300F7E"/>
    <w:rsid w:val="003232E8"/>
    <w:rsid w:val="00326F05"/>
    <w:rsid w:val="00337D4E"/>
    <w:rsid w:val="00341F4A"/>
    <w:rsid w:val="00343315"/>
    <w:rsid w:val="003512C4"/>
    <w:rsid w:val="003528AD"/>
    <w:rsid w:val="00373991"/>
    <w:rsid w:val="00375567"/>
    <w:rsid w:val="003B4495"/>
    <w:rsid w:val="003B5A37"/>
    <w:rsid w:val="003C0907"/>
    <w:rsid w:val="003D2823"/>
    <w:rsid w:val="003D495C"/>
    <w:rsid w:val="003D5BD4"/>
    <w:rsid w:val="003E1046"/>
    <w:rsid w:val="003E1E2F"/>
    <w:rsid w:val="003F3AFD"/>
    <w:rsid w:val="003F405E"/>
    <w:rsid w:val="00402BBB"/>
    <w:rsid w:val="004068B0"/>
    <w:rsid w:val="00414607"/>
    <w:rsid w:val="00415309"/>
    <w:rsid w:val="00416D84"/>
    <w:rsid w:val="00420169"/>
    <w:rsid w:val="00420D6A"/>
    <w:rsid w:val="004406A3"/>
    <w:rsid w:val="0044456D"/>
    <w:rsid w:val="004457AC"/>
    <w:rsid w:val="004470CE"/>
    <w:rsid w:val="004713CB"/>
    <w:rsid w:val="0049079D"/>
    <w:rsid w:val="00490ABD"/>
    <w:rsid w:val="004A0A5C"/>
    <w:rsid w:val="004A3E25"/>
    <w:rsid w:val="004C4B12"/>
    <w:rsid w:val="004D5663"/>
    <w:rsid w:val="004D6DEF"/>
    <w:rsid w:val="004D7829"/>
    <w:rsid w:val="004E1B42"/>
    <w:rsid w:val="004F4E33"/>
    <w:rsid w:val="005001DA"/>
    <w:rsid w:val="00505C0B"/>
    <w:rsid w:val="00523003"/>
    <w:rsid w:val="005436CE"/>
    <w:rsid w:val="005444F9"/>
    <w:rsid w:val="00544DAA"/>
    <w:rsid w:val="00545193"/>
    <w:rsid w:val="00561218"/>
    <w:rsid w:val="00561A27"/>
    <w:rsid w:val="00563117"/>
    <w:rsid w:val="0056727C"/>
    <w:rsid w:val="00571AA1"/>
    <w:rsid w:val="00573F5A"/>
    <w:rsid w:val="005923DC"/>
    <w:rsid w:val="00595819"/>
    <w:rsid w:val="00595C48"/>
    <w:rsid w:val="00596B3F"/>
    <w:rsid w:val="005A28FA"/>
    <w:rsid w:val="005A31D0"/>
    <w:rsid w:val="005C519D"/>
    <w:rsid w:val="005D32E6"/>
    <w:rsid w:val="005D581C"/>
    <w:rsid w:val="005D6BF3"/>
    <w:rsid w:val="005E53A3"/>
    <w:rsid w:val="005F06C6"/>
    <w:rsid w:val="005F2284"/>
    <w:rsid w:val="00601F6F"/>
    <w:rsid w:val="0062435B"/>
    <w:rsid w:val="006316F4"/>
    <w:rsid w:val="006360AE"/>
    <w:rsid w:val="0066385B"/>
    <w:rsid w:val="00664574"/>
    <w:rsid w:val="006661CE"/>
    <w:rsid w:val="00671D54"/>
    <w:rsid w:val="006816DB"/>
    <w:rsid w:val="00686257"/>
    <w:rsid w:val="006919CC"/>
    <w:rsid w:val="00697E58"/>
    <w:rsid w:val="006A5BD9"/>
    <w:rsid w:val="006C6B0C"/>
    <w:rsid w:val="006D2A85"/>
    <w:rsid w:val="006D763E"/>
    <w:rsid w:val="006E086A"/>
    <w:rsid w:val="006E2F4C"/>
    <w:rsid w:val="006F1DF2"/>
    <w:rsid w:val="006F5868"/>
    <w:rsid w:val="0070031F"/>
    <w:rsid w:val="00703890"/>
    <w:rsid w:val="007221D4"/>
    <w:rsid w:val="00730ABA"/>
    <w:rsid w:val="00731181"/>
    <w:rsid w:val="00733142"/>
    <w:rsid w:val="00734EC2"/>
    <w:rsid w:val="00750AC6"/>
    <w:rsid w:val="00761F20"/>
    <w:rsid w:val="007622FA"/>
    <w:rsid w:val="00762D0E"/>
    <w:rsid w:val="0076746A"/>
    <w:rsid w:val="00771925"/>
    <w:rsid w:val="00772218"/>
    <w:rsid w:val="00773FC9"/>
    <w:rsid w:val="00777F65"/>
    <w:rsid w:val="007876BA"/>
    <w:rsid w:val="00787DB8"/>
    <w:rsid w:val="007926DF"/>
    <w:rsid w:val="007A05E9"/>
    <w:rsid w:val="007B01C9"/>
    <w:rsid w:val="007B2944"/>
    <w:rsid w:val="007C0B04"/>
    <w:rsid w:val="007D19C0"/>
    <w:rsid w:val="007D2CBB"/>
    <w:rsid w:val="007D77C9"/>
    <w:rsid w:val="007F59BC"/>
    <w:rsid w:val="007F6328"/>
    <w:rsid w:val="007F7842"/>
    <w:rsid w:val="00801622"/>
    <w:rsid w:val="00801B93"/>
    <w:rsid w:val="00807235"/>
    <w:rsid w:val="0080741D"/>
    <w:rsid w:val="00820C48"/>
    <w:rsid w:val="008334DA"/>
    <w:rsid w:val="008351A5"/>
    <w:rsid w:val="008407DE"/>
    <w:rsid w:val="00841B40"/>
    <w:rsid w:val="008453FA"/>
    <w:rsid w:val="00851E38"/>
    <w:rsid w:val="00863BD5"/>
    <w:rsid w:val="00881513"/>
    <w:rsid w:val="00885AA4"/>
    <w:rsid w:val="0088668E"/>
    <w:rsid w:val="00897E18"/>
    <w:rsid w:val="008A2582"/>
    <w:rsid w:val="008A5D34"/>
    <w:rsid w:val="008B3D3D"/>
    <w:rsid w:val="008B556F"/>
    <w:rsid w:val="008C7720"/>
    <w:rsid w:val="008D5A92"/>
    <w:rsid w:val="008F02D7"/>
    <w:rsid w:val="008F2495"/>
    <w:rsid w:val="009142A0"/>
    <w:rsid w:val="0092620D"/>
    <w:rsid w:val="0095312B"/>
    <w:rsid w:val="00962659"/>
    <w:rsid w:val="009848CF"/>
    <w:rsid w:val="00996B91"/>
    <w:rsid w:val="009A19B7"/>
    <w:rsid w:val="009A22AC"/>
    <w:rsid w:val="009A6E0C"/>
    <w:rsid w:val="009B3652"/>
    <w:rsid w:val="009B3D27"/>
    <w:rsid w:val="009B7385"/>
    <w:rsid w:val="009E5EE5"/>
    <w:rsid w:val="00A30A1D"/>
    <w:rsid w:val="00A3718C"/>
    <w:rsid w:val="00A37FD6"/>
    <w:rsid w:val="00A43AF8"/>
    <w:rsid w:val="00A521E4"/>
    <w:rsid w:val="00A6151B"/>
    <w:rsid w:val="00A67B13"/>
    <w:rsid w:val="00A75414"/>
    <w:rsid w:val="00A77BB8"/>
    <w:rsid w:val="00A80BA8"/>
    <w:rsid w:val="00A96121"/>
    <w:rsid w:val="00AA6585"/>
    <w:rsid w:val="00AA6932"/>
    <w:rsid w:val="00AA72D2"/>
    <w:rsid w:val="00AC5E76"/>
    <w:rsid w:val="00AD3574"/>
    <w:rsid w:val="00AD6038"/>
    <w:rsid w:val="00AF758B"/>
    <w:rsid w:val="00B07D16"/>
    <w:rsid w:val="00B43FBA"/>
    <w:rsid w:val="00B50F81"/>
    <w:rsid w:val="00B536CE"/>
    <w:rsid w:val="00B55C52"/>
    <w:rsid w:val="00B65D41"/>
    <w:rsid w:val="00B81FDF"/>
    <w:rsid w:val="00BB7F85"/>
    <w:rsid w:val="00BD6A94"/>
    <w:rsid w:val="00BF2FB9"/>
    <w:rsid w:val="00C0141E"/>
    <w:rsid w:val="00C01900"/>
    <w:rsid w:val="00C05E79"/>
    <w:rsid w:val="00C31F86"/>
    <w:rsid w:val="00C455CD"/>
    <w:rsid w:val="00C46C75"/>
    <w:rsid w:val="00C5187F"/>
    <w:rsid w:val="00C570B3"/>
    <w:rsid w:val="00C5753F"/>
    <w:rsid w:val="00C60E15"/>
    <w:rsid w:val="00C61100"/>
    <w:rsid w:val="00C67B88"/>
    <w:rsid w:val="00C77165"/>
    <w:rsid w:val="00C862DA"/>
    <w:rsid w:val="00CA0C8C"/>
    <w:rsid w:val="00CA3171"/>
    <w:rsid w:val="00CA5E00"/>
    <w:rsid w:val="00CC01F5"/>
    <w:rsid w:val="00CC5F31"/>
    <w:rsid w:val="00CC7904"/>
    <w:rsid w:val="00CD2AFF"/>
    <w:rsid w:val="00CD7A61"/>
    <w:rsid w:val="00CE33DD"/>
    <w:rsid w:val="00CE54F4"/>
    <w:rsid w:val="00CE5DBB"/>
    <w:rsid w:val="00CE7137"/>
    <w:rsid w:val="00CF583B"/>
    <w:rsid w:val="00D028CF"/>
    <w:rsid w:val="00D03AED"/>
    <w:rsid w:val="00D11F16"/>
    <w:rsid w:val="00D34065"/>
    <w:rsid w:val="00D35EEB"/>
    <w:rsid w:val="00D45D95"/>
    <w:rsid w:val="00D60ECF"/>
    <w:rsid w:val="00D61707"/>
    <w:rsid w:val="00D651A8"/>
    <w:rsid w:val="00D725A3"/>
    <w:rsid w:val="00D80D97"/>
    <w:rsid w:val="00D83403"/>
    <w:rsid w:val="00D87958"/>
    <w:rsid w:val="00D908FD"/>
    <w:rsid w:val="00DA0273"/>
    <w:rsid w:val="00DA4D00"/>
    <w:rsid w:val="00DB5927"/>
    <w:rsid w:val="00DB736D"/>
    <w:rsid w:val="00DE46D3"/>
    <w:rsid w:val="00DF08F9"/>
    <w:rsid w:val="00DF27CB"/>
    <w:rsid w:val="00DF368C"/>
    <w:rsid w:val="00E0555D"/>
    <w:rsid w:val="00E05984"/>
    <w:rsid w:val="00E12817"/>
    <w:rsid w:val="00E13881"/>
    <w:rsid w:val="00E15B90"/>
    <w:rsid w:val="00E17C97"/>
    <w:rsid w:val="00E21C54"/>
    <w:rsid w:val="00E421DD"/>
    <w:rsid w:val="00E45990"/>
    <w:rsid w:val="00E57C01"/>
    <w:rsid w:val="00E57FBA"/>
    <w:rsid w:val="00E6215D"/>
    <w:rsid w:val="00E65FCF"/>
    <w:rsid w:val="00E71EFC"/>
    <w:rsid w:val="00E83622"/>
    <w:rsid w:val="00E83ACC"/>
    <w:rsid w:val="00E856CB"/>
    <w:rsid w:val="00E948EC"/>
    <w:rsid w:val="00EA14F2"/>
    <w:rsid w:val="00EA35B9"/>
    <w:rsid w:val="00EE3401"/>
    <w:rsid w:val="00EF009D"/>
    <w:rsid w:val="00EF433C"/>
    <w:rsid w:val="00F07AEF"/>
    <w:rsid w:val="00F1669F"/>
    <w:rsid w:val="00F169F5"/>
    <w:rsid w:val="00F26D4C"/>
    <w:rsid w:val="00F277C1"/>
    <w:rsid w:val="00F30DEE"/>
    <w:rsid w:val="00F425B0"/>
    <w:rsid w:val="00F6038D"/>
    <w:rsid w:val="00F62847"/>
    <w:rsid w:val="00F65D8A"/>
    <w:rsid w:val="00F70157"/>
    <w:rsid w:val="00F867B8"/>
    <w:rsid w:val="00F92C9A"/>
    <w:rsid w:val="00F9432D"/>
    <w:rsid w:val="00F95A79"/>
    <w:rsid w:val="00FA21A6"/>
    <w:rsid w:val="00FA4B0A"/>
    <w:rsid w:val="00FB5B83"/>
    <w:rsid w:val="00FF16A0"/>
    <w:rsid w:val="00FF2E03"/>
    <w:rsid w:val="00FF3CDF"/>
    <w:rsid w:val="00FF5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3A5BA"/>
  <w15:docId w15:val="{8412CA66-1543-414F-8308-7327FBE7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7"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3"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99"/>
    <w:qFormat/>
    <w:rsid w:val="007F7842"/>
    <w:pPr>
      <w:spacing w:after="0" w:line="240" w:lineRule="auto"/>
    </w:pPr>
    <w:rPr>
      <w:rFonts w:ascii="Times New Roman" w:hAnsi="Times New Roman" w:cs="Times New Roman"/>
      <w:sz w:val="24"/>
      <w:szCs w:val="24"/>
      <w:lang w:eastAsia="en-GB"/>
    </w:rPr>
  </w:style>
  <w:style w:type="paragraph" w:styleId="Heading1">
    <w:name w:val="heading 1"/>
    <w:basedOn w:val="BodyText"/>
    <w:next w:val="Normal"/>
    <w:link w:val="Heading1Char"/>
    <w:uiPriority w:val="8"/>
    <w:qFormat/>
    <w:rsid w:val="00166CD9"/>
    <w:pPr>
      <w:numPr>
        <w:numId w:val="19"/>
      </w:numPr>
      <w:ind w:left="357" w:hanging="357"/>
      <w:outlineLvl w:val="0"/>
    </w:pPr>
  </w:style>
  <w:style w:type="paragraph" w:styleId="Heading2">
    <w:name w:val="heading 2"/>
    <w:basedOn w:val="Heading1"/>
    <w:next w:val="Normal"/>
    <w:link w:val="Heading2Char"/>
    <w:uiPriority w:val="9"/>
    <w:qFormat/>
    <w:rsid w:val="008C7720"/>
    <w:pPr>
      <w:keepLines/>
      <w:numPr>
        <w:ilvl w:val="1"/>
      </w:numPr>
      <w:ind w:left="850" w:hanging="493"/>
      <w:outlineLvl w:val="1"/>
    </w:pPr>
  </w:style>
  <w:style w:type="paragraph" w:styleId="Heading3">
    <w:name w:val="heading 3"/>
    <w:basedOn w:val="Heading2"/>
    <w:next w:val="Normal"/>
    <w:link w:val="Heading3Char"/>
    <w:uiPriority w:val="10"/>
    <w:qFormat/>
    <w:rsid w:val="008C7720"/>
    <w:pPr>
      <w:numPr>
        <w:ilvl w:val="2"/>
      </w:numPr>
      <w:ind w:left="1469" w:hanging="658"/>
      <w:outlineLvl w:val="2"/>
    </w:pPr>
  </w:style>
  <w:style w:type="paragraph" w:styleId="Heading4">
    <w:name w:val="heading 4"/>
    <w:basedOn w:val="Normal"/>
    <w:next w:val="Normal"/>
    <w:link w:val="Heading4Char"/>
    <w:uiPriority w:val="9"/>
    <w:semiHidden/>
    <w:qFormat/>
    <w:rsid w:val="00C46C75"/>
    <w:pPr>
      <w:keepNext/>
      <w:keepLines/>
      <w:numPr>
        <w:ilvl w:val="3"/>
        <w:numId w:val="5"/>
      </w:numPr>
      <w:spacing w:before="200"/>
      <w:outlineLvl w:val="3"/>
    </w:pPr>
    <w:rPr>
      <w:rFonts w:asciiTheme="majorHAnsi" w:eastAsiaTheme="majorEastAsia" w:hAnsiTheme="majorHAnsi" w:cstheme="majorBidi"/>
      <w:b/>
      <w:bCs/>
      <w:i/>
      <w:iCs/>
      <w:color w:val="FFFFFF" w:themeColor="accent1"/>
      <w:sz w:val="22"/>
      <w:szCs w:val="22"/>
      <w:lang w:eastAsia="en-US"/>
    </w:rPr>
  </w:style>
  <w:style w:type="paragraph" w:styleId="Heading5">
    <w:name w:val="heading 5"/>
    <w:basedOn w:val="Normal"/>
    <w:next w:val="Normal"/>
    <w:link w:val="Heading5Char"/>
    <w:uiPriority w:val="9"/>
    <w:semiHidden/>
    <w:qFormat/>
    <w:rsid w:val="00C46C75"/>
    <w:pPr>
      <w:keepNext/>
      <w:keepLines/>
      <w:numPr>
        <w:ilvl w:val="4"/>
        <w:numId w:val="5"/>
      </w:numPr>
      <w:spacing w:before="200"/>
      <w:outlineLvl w:val="4"/>
    </w:pPr>
    <w:rPr>
      <w:rFonts w:asciiTheme="majorHAnsi" w:eastAsiaTheme="majorEastAsia" w:hAnsiTheme="majorHAnsi" w:cstheme="majorBidi"/>
      <w:color w:val="7F7F7F" w:themeColor="accent1" w:themeShade="7F"/>
      <w:sz w:val="22"/>
      <w:szCs w:val="22"/>
      <w:lang w:eastAsia="en-US"/>
    </w:rPr>
  </w:style>
  <w:style w:type="paragraph" w:styleId="Heading6">
    <w:name w:val="heading 6"/>
    <w:basedOn w:val="Normal"/>
    <w:next w:val="Normal"/>
    <w:link w:val="Heading6Char"/>
    <w:uiPriority w:val="9"/>
    <w:semiHidden/>
    <w:qFormat/>
    <w:rsid w:val="00C46C75"/>
    <w:pPr>
      <w:keepNext/>
      <w:keepLines/>
      <w:numPr>
        <w:ilvl w:val="5"/>
        <w:numId w:val="5"/>
      </w:numPr>
      <w:spacing w:before="200"/>
      <w:outlineLvl w:val="5"/>
    </w:pPr>
    <w:rPr>
      <w:rFonts w:asciiTheme="majorHAnsi" w:eastAsiaTheme="majorEastAsia" w:hAnsiTheme="majorHAnsi" w:cstheme="majorBidi"/>
      <w:i/>
      <w:iCs/>
      <w:color w:val="7F7F7F" w:themeColor="accent1" w:themeShade="7F"/>
      <w:sz w:val="22"/>
      <w:szCs w:val="22"/>
      <w:lang w:eastAsia="en-US"/>
    </w:rPr>
  </w:style>
  <w:style w:type="paragraph" w:styleId="Heading7">
    <w:name w:val="heading 7"/>
    <w:basedOn w:val="Normal"/>
    <w:next w:val="Normal"/>
    <w:link w:val="Heading7Char"/>
    <w:uiPriority w:val="9"/>
    <w:semiHidden/>
    <w:qFormat/>
    <w:rsid w:val="00C46C75"/>
    <w:pPr>
      <w:keepNext/>
      <w:keepLines/>
      <w:numPr>
        <w:ilvl w:val="6"/>
        <w:numId w:val="5"/>
      </w:numPr>
      <w:spacing w:before="200"/>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iPriority w:val="9"/>
    <w:semiHidden/>
    <w:qFormat/>
    <w:rsid w:val="00C46C75"/>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C46C75"/>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7"/>
    <w:qFormat/>
    <w:rsid w:val="00F9432D"/>
    <w:pPr>
      <w:spacing w:before="260" w:line="260" w:lineRule="exact"/>
    </w:pPr>
    <w:rPr>
      <w:rFonts w:asciiTheme="minorHAnsi" w:eastAsiaTheme="minorEastAsia" w:hAnsiTheme="minorHAnsi" w:cstheme="minorBidi"/>
      <w:sz w:val="22"/>
      <w:szCs w:val="22"/>
      <w:lang w:eastAsia="en-US"/>
    </w:rPr>
  </w:style>
  <w:style w:type="character" w:customStyle="1" w:styleId="BodyTextChar">
    <w:name w:val="Body Text Char"/>
    <w:basedOn w:val="DefaultParagraphFont"/>
    <w:link w:val="BodyText"/>
    <w:uiPriority w:val="7"/>
    <w:rsid w:val="00F9432D"/>
  </w:style>
  <w:style w:type="character" w:customStyle="1" w:styleId="Heading1Char">
    <w:name w:val="Heading 1 Char"/>
    <w:basedOn w:val="DefaultParagraphFont"/>
    <w:link w:val="Heading1"/>
    <w:uiPriority w:val="8"/>
    <w:rsid w:val="00166CD9"/>
  </w:style>
  <w:style w:type="character" w:customStyle="1" w:styleId="Heading2Char">
    <w:name w:val="Heading 2 Char"/>
    <w:basedOn w:val="DefaultParagraphFont"/>
    <w:link w:val="Heading2"/>
    <w:uiPriority w:val="9"/>
    <w:rsid w:val="008C7720"/>
  </w:style>
  <w:style w:type="character" w:customStyle="1" w:styleId="Heading3Char">
    <w:name w:val="Heading 3 Char"/>
    <w:basedOn w:val="DefaultParagraphFont"/>
    <w:link w:val="Heading3"/>
    <w:uiPriority w:val="9"/>
    <w:rsid w:val="008C7720"/>
  </w:style>
  <w:style w:type="paragraph" w:customStyle="1" w:styleId="DocumentTitle">
    <w:name w:val="Document Title"/>
    <w:basedOn w:val="BodyText"/>
    <w:qFormat/>
    <w:rsid w:val="00F9432D"/>
    <w:pPr>
      <w:spacing w:before="0" w:after="640" w:line="520" w:lineRule="exact"/>
      <w:jc w:val="center"/>
    </w:pPr>
    <w:rPr>
      <w:b/>
      <w:color w:val="20419A" w:themeColor="text2"/>
      <w:sz w:val="44"/>
      <w:szCs w:val="48"/>
    </w:rPr>
  </w:style>
  <w:style w:type="paragraph" w:styleId="ListBullet">
    <w:name w:val="List Bullet"/>
    <w:basedOn w:val="BodyText"/>
    <w:uiPriority w:val="99"/>
    <w:rsid w:val="008C7720"/>
    <w:pPr>
      <w:keepLines/>
      <w:numPr>
        <w:numId w:val="4"/>
      </w:numPr>
      <w:spacing w:before="80" w:after="80"/>
      <w:ind w:left="227" w:hanging="227"/>
    </w:pPr>
  </w:style>
  <w:style w:type="paragraph" w:styleId="ListBullet2">
    <w:name w:val="List Bullet 2"/>
    <w:basedOn w:val="ListBullet"/>
    <w:uiPriority w:val="99"/>
    <w:rsid w:val="00F9432D"/>
    <w:pPr>
      <w:numPr>
        <w:ilvl w:val="1"/>
      </w:numPr>
      <w:ind w:left="454" w:hanging="227"/>
    </w:pPr>
  </w:style>
  <w:style w:type="paragraph" w:customStyle="1" w:styleId="Heading">
    <w:name w:val="Heading"/>
    <w:next w:val="BodyText"/>
    <w:uiPriority w:val="1"/>
    <w:qFormat/>
    <w:rsid w:val="002B6243"/>
    <w:pPr>
      <w:pBdr>
        <w:top w:val="single" w:sz="12" w:space="1" w:color="C4DCF3" w:themeColor="background2"/>
        <w:left w:val="single" w:sz="12" w:space="4" w:color="C4DCF3" w:themeColor="background2"/>
        <w:bottom w:val="single" w:sz="12" w:space="3" w:color="C4DCF3" w:themeColor="background2"/>
        <w:right w:val="single" w:sz="12" w:space="4" w:color="C4DCF3" w:themeColor="background2"/>
      </w:pBdr>
      <w:shd w:val="clear" w:color="auto" w:fill="C4DCF3" w:themeFill="background2"/>
      <w:spacing w:before="260" w:after="260" w:line="240" w:lineRule="auto"/>
    </w:pPr>
    <w:rPr>
      <w:b/>
      <w:noProof/>
      <w:color w:val="20419A" w:themeColor="text2"/>
      <w:sz w:val="28"/>
      <w:szCs w:val="28"/>
      <w:lang w:val="en-US"/>
    </w:rPr>
  </w:style>
  <w:style w:type="paragraph" w:customStyle="1" w:styleId="Subheading">
    <w:name w:val="Subheading"/>
    <w:uiPriority w:val="2"/>
    <w:qFormat/>
    <w:rsid w:val="00F9432D"/>
    <w:pPr>
      <w:spacing w:before="260" w:after="130" w:line="260" w:lineRule="exact"/>
    </w:pPr>
    <w:rPr>
      <w:b/>
      <w:color w:val="20419A" w:themeColor="text2"/>
      <w:sz w:val="24"/>
      <w:szCs w:val="26"/>
    </w:rPr>
  </w:style>
  <w:style w:type="paragraph" w:customStyle="1" w:styleId="Subheading11pt">
    <w:name w:val="Subheading 11pt"/>
    <w:next w:val="BodyText"/>
    <w:uiPriority w:val="3"/>
    <w:qFormat/>
    <w:rsid w:val="00F9432D"/>
    <w:pPr>
      <w:spacing w:before="260" w:after="0" w:line="260" w:lineRule="exact"/>
    </w:pPr>
    <w:rPr>
      <w:b/>
      <w:color w:val="20419A" w:themeColor="text2"/>
    </w:rPr>
  </w:style>
  <w:style w:type="character" w:customStyle="1" w:styleId="Heading4Char">
    <w:name w:val="Heading 4 Char"/>
    <w:basedOn w:val="DefaultParagraphFont"/>
    <w:link w:val="Heading4"/>
    <w:uiPriority w:val="9"/>
    <w:semiHidden/>
    <w:rsid w:val="00523003"/>
    <w:rPr>
      <w:rFonts w:asciiTheme="majorHAnsi" w:eastAsiaTheme="majorEastAsia" w:hAnsiTheme="majorHAnsi" w:cstheme="majorBidi"/>
      <w:b/>
      <w:bCs/>
      <w:i/>
      <w:iCs/>
      <w:color w:val="FFFFFF" w:themeColor="accent1"/>
    </w:rPr>
  </w:style>
  <w:style w:type="character" w:customStyle="1" w:styleId="Heading5Char">
    <w:name w:val="Heading 5 Char"/>
    <w:basedOn w:val="DefaultParagraphFont"/>
    <w:link w:val="Heading5"/>
    <w:uiPriority w:val="9"/>
    <w:semiHidden/>
    <w:rsid w:val="00523003"/>
    <w:rPr>
      <w:rFonts w:asciiTheme="majorHAnsi" w:eastAsiaTheme="majorEastAsia" w:hAnsiTheme="majorHAnsi" w:cstheme="majorBidi"/>
      <w:color w:val="7F7F7F" w:themeColor="accent1" w:themeShade="7F"/>
    </w:rPr>
  </w:style>
  <w:style w:type="character" w:customStyle="1" w:styleId="Heading6Char">
    <w:name w:val="Heading 6 Char"/>
    <w:basedOn w:val="DefaultParagraphFont"/>
    <w:link w:val="Heading6"/>
    <w:uiPriority w:val="9"/>
    <w:semiHidden/>
    <w:rsid w:val="00C46C75"/>
    <w:rPr>
      <w:rFonts w:asciiTheme="majorHAnsi" w:eastAsiaTheme="majorEastAsia" w:hAnsiTheme="majorHAnsi" w:cstheme="majorBidi"/>
      <w:i/>
      <w:iCs/>
      <w:color w:val="7F7F7F" w:themeColor="accent1" w:themeShade="7F"/>
    </w:rPr>
  </w:style>
  <w:style w:type="character" w:customStyle="1" w:styleId="Heading7Char">
    <w:name w:val="Heading 7 Char"/>
    <w:basedOn w:val="DefaultParagraphFont"/>
    <w:link w:val="Heading7"/>
    <w:uiPriority w:val="9"/>
    <w:semiHidden/>
    <w:rsid w:val="00C46C7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46C7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46C75"/>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C46C75"/>
    <w:pPr>
      <w:numPr>
        <w:numId w:val="6"/>
      </w:numPr>
    </w:pPr>
  </w:style>
  <w:style w:type="numbering" w:customStyle="1" w:styleId="wfmenumbers">
    <w:name w:val="wfme numbers"/>
    <w:uiPriority w:val="99"/>
    <w:rsid w:val="00166CD9"/>
    <w:pPr>
      <w:numPr>
        <w:numId w:val="18"/>
      </w:numPr>
    </w:pPr>
  </w:style>
  <w:style w:type="paragraph" w:styleId="Header">
    <w:name w:val="header"/>
    <w:basedOn w:val="Normal"/>
    <w:link w:val="HeaderChar"/>
    <w:uiPriority w:val="99"/>
    <w:semiHidden/>
    <w:rsid w:val="00A77BB8"/>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semiHidden/>
    <w:rsid w:val="00523003"/>
  </w:style>
  <w:style w:type="paragraph" w:styleId="Footer">
    <w:name w:val="footer"/>
    <w:basedOn w:val="Normal"/>
    <w:link w:val="FooterChar"/>
    <w:uiPriority w:val="99"/>
    <w:rsid w:val="00BF2FB9"/>
    <w:pPr>
      <w:tabs>
        <w:tab w:val="right" w:pos="9639"/>
      </w:tabs>
    </w:pPr>
    <w:rPr>
      <w:rFonts w:asciiTheme="minorHAnsi" w:eastAsiaTheme="minorEastAsia" w:hAnsiTheme="minorHAnsi" w:cstheme="minorBidi"/>
      <w:color w:val="20419A" w:themeColor="text2"/>
      <w:sz w:val="22"/>
      <w:szCs w:val="22"/>
      <w:lang w:eastAsia="en-US"/>
    </w:rPr>
  </w:style>
  <w:style w:type="character" w:customStyle="1" w:styleId="FooterChar">
    <w:name w:val="Footer Char"/>
    <w:basedOn w:val="DefaultParagraphFont"/>
    <w:link w:val="Footer"/>
    <w:uiPriority w:val="99"/>
    <w:rsid w:val="00BF2FB9"/>
    <w:rPr>
      <w:color w:val="20419A" w:themeColor="text2"/>
    </w:rPr>
  </w:style>
  <w:style w:type="table" w:styleId="TableGrid">
    <w:name w:val="Table Grid"/>
    <w:basedOn w:val="TableNormal"/>
    <w:uiPriority w:val="59"/>
    <w:rsid w:val="00926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semiHidden/>
    <w:qFormat/>
    <w:rsid w:val="0092620D"/>
    <w:pPr>
      <w:spacing w:line="240" w:lineRule="auto"/>
    </w:pPr>
  </w:style>
  <w:style w:type="paragraph" w:customStyle="1" w:styleId="TableHeading">
    <w:name w:val="Table Heading"/>
    <w:basedOn w:val="TableText"/>
    <w:semiHidden/>
    <w:qFormat/>
    <w:rsid w:val="0092620D"/>
    <w:rPr>
      <w:b/>
      <w:color w:val="FFFFFF" w:themeColor="background1"/>
    </w:rPr>
  </w:style>
  <w:style w:type="paragraph" w:customStyle="1" w:styleId="TableBodyText">
    <w:name w:val="Table Body Text"/>
    <w:basedOn w:val="TableText"/>
    <w:uiPriority w:val="5"/>
    <w:qFormat/>
    <w:rsid w:val="00881513"/>
    <w:pPr>
      <w:spacing w:before="80" w:after="80" w:line="260" w:lineRule="exact"/>
    </w:pPr>
  </w:style>
  <w:style w:type="paragraph" w:customStyle="1" w:styleId="TableHeaderRow">
    <w:name w:val="Table Header Row"/>
    <w:basedOn w:val="TableHeading"/>
    <w:uiPriority w:val="4"/>
    <w:qFormat/>
    <w:rsid w:val="0092620D"/>
  </w:style>
  <w:style w:type="paragraph" w:customStyle="1" w:styleId="TableFooterRow">
    <w:name w:val="Table Footer Row"/>
    <w:basedOn w:val="TableText"/>
    <w:uiPriority w:val="6"/>
    <w:qFormat/>
    <w:rsid w:val="0092620D"/>
    <w:rPr>
      <w:b/>
      <w:color w:val="20419A" w:themeColor="text2"/>
    </w:rPr>
  </w:style>
  <w:style w:type="table" w:customStyle="1" w:styleId="wfmetable">
    <w:name w:val="wfme table"/>
    <w:basedOn w:val="TableNormal"/>
    <w:uiPriority w:val="99"/>
    <w:rsid w:val="00E65FCF"/>
    <w:pPr>
      <w:spacing w:after="0" w:line="240" w:lineRule="auto"/>
    </w:pPr>
    <w:tblPr>
      <w:tblStyleRowBandSize w:val="1"/>
      <w:tblBorders>
        <w:top w:val="single" w:sz="2" w:space="0" w:color="20419A" w:themeColor="text2"/>
        <w:left w:val="single" w:sz="2" w:space="0" w:color="20419A" w:themeColor="text2"/>
        <w:bottom w:val="single" w:sz="2" w:space="0" w:color="20419A" w:themeColor="text2"/>
        <w:right w:val="single" w:sz="2" w:space="0" w:color="20419A" w:themeColor="text2"/>
        <w:insideH w:val="single" w:sz="2" w:space="0" w:color="20419A" w:themeColor="text2"/>
        <w:insideV w:val="single" w:sz="2" w:space="0" w:color="20419A" w:themeColor="text2"/>
      </w:tblBorders>
    </w:tblPr>
    <w:trPr>
      <w:cantSplit/>
    </w:trPr>
    <w:tcPr>
      <w:vAlign w:val="center"/>
    </w:tcPr>
    <w:tblStylePr w:type="firstRow">
      <w:pPr>
        <w:wordWrap/>
        <w:spacing w:beforeLines="0" w:before="0" w:beforeAutospacing="0" w:afterLines="0" w:after="0" w:afterAutospacing="0" w:line="240" w:lineRule="auto"/>
        <w:contextualSpacing w:val="0"/>
        <w:jc w:val="left"/>
      </w:pPr>
      <w:rPr>
        <w:rFonts w:asciiTheme="majorHAnsi" w:hAnsiTheme="majorHAnsi"/>
        <w:b/>
        <w:color w:val="C4DCF3" w:themeColor="background2"/>
      </w:rPr>
      <w:tblPr/>
      <w:tcPr>
        <w:shd w:val="clear" w:color="auto" w:fill="20419A" w:themeFill="text2"/>
      </w:tcPr>
    </w:tblStylePr>
    <w:tblStylePr w:type="lastRow">
      <w:rPr>
        <w:rFonts w:asciiTheme="majorHAnsi" w:hAnsiTheme="majorHAnsi"/>
        <w:b/>
        <w:color w:val="FFFFFF" w:themeColor="accent1"/>
        <w:sz w:val="22"/>
      </w:rPr>
      <w:tblPr/>
      <w:tcPr>
        <w:shd w:val="clear" w:color="auto" w:fill="20419A" w:themeFill="accent2"/>
      </w:tcPr>
    </w:tblStylePr>
    <w:tblStylePr w:type="band1Horz">
      <w:tblPr/>
      <w:tcPr>
        <w:shd w:val="clear" w:color="auto" w:fill="F0F6FC"/>
      </w:tcPr>
    </w:tblStylePr>
  </w:style>
  <w:style w:type="paragraph" w:styleId="BalloonText">
    <w:name w:val="Balloon Text"/>
    <w:basedOn w:val="Normal"/>
    <w:link w:val="BalloonTextChar"/>
    <w:uiPriority w:val="99"/>
    <w:semiHidden/>
    <w:unhideWhenUsed/>
    <w:rsid w:val="00BF2FB9"/>
    <w:rPr>
      <w:rFonts w:ascii="Tahoma" w:eastAsiaTheme="minorEastAsia" w:hAnsi="Tahoma" w:cs="Tahoma"/>
      <w:sz w:val="16"/>
      <w:szCs w:val="16"/>
      <w:lang w:eastAsia="en-US"/>
    </w:rPr>
  </w:style>
  <w:style w:type="character" w:customStyle="1" w:styleId="BalloonTextChar">
    <w:name w:val="Balloon Text Char"/>
    <w:basedOn w:val="DefaultParagraphFont"/>
    <w:link w:val="BalloonText"/>
    <w:uiPriority w:val="99"/>
    <w:semiHidden/>
    <w:rsid w:val="00BF2FB9"/>
    <w:rPr>
      <w:rFonts w:ascii="Tahoma" w:hAnsi="Tahoma" w:cs="Tahoma"/>
      <w:sz w:val="16"/>
      <w:szCs w:val="16"/>
    </w:rPr>
  </w:style>
  <w:style w:type="paragraph" w:styleId="ListParagraph">
    <w:name w:val="List Paragraph"/>
    <w:basedOn w:val="Normal"/>
    <w:uiPriority w:val="34"/>
    <w:qFormat/>
    <w:rsid w:val="007622FA"/>
    <w:pPr>
      <w:ind w:left="720"/>
      <w:contextualSpacing/>
    </w:pPr>
    <w:rPr>
      <w:rFonts w:asciiTheme="minorHAnsi" w:eastAsiaTheme="minorEastAsia" w:hAnsiTheme="minorHAnsi" w:cstheme="minorBidi"/>
      <w:sz w:val="22"/>
      <w:szCs w:val="22"/>
      <w:lang w:eastAsia="en-US"/>
    </w:rPr>
  </w:style>
  <w:style w:type="paragraph" w:customStyle="1" w:styleId="CoverTitle">
    <w:name w:val="Cover Title"/>
    <w:basedOn w:val="DocumentTitle"/>
    <w:uiPriority w:val="11"/>
    <w:qFormat/>
    <w:rsid w:val="00E17C97"/>
    <w:pPr>
      <w:spacing w:after="360"/>
    </w:pPr>
    <w:rPr>
      <w:caps/>
      <w:sz w:val="48"/>
    </w:rPr>
  </w:style>
  <w:style w:type="paragraph" w:customStyle="1" w:styleId="AuthorName">
    <w:name w:val="Author Name"/>
    <w:basedOn w:val="DocumentTitle"/>
    <w:uiPriority w:val="12"/>
    <w:qFormat/>
    <w:rsid w:val="00E17C97"/>
    <w:pPr>
      <w:spacing w:after="240" w:line="420" w:lineRule="exact"/>
    </w:pPr>
    <w:rPr>
      <w:sz w:val="36"/>
      <w:szCs w:val="36"/>
    </w:rPr>
  </w:style>
  <w:style w:type="paragraph" w:styleId="Date">
    <w:name w:val="Date"/>
    <w:basedOn w:val="DocumentTitle"/>
    <w:next w:val="Normal"/>
    <w:link w:val="DateChar"/>
    <w:uiPriority w:val="13"/>
    <w:rsid w:val="00E17C97"/>
    <w:pPr>
      <w:spacing w:after="0" w:line="280" w:lineRule="exact"/>
    </w:pPr>
    <w:rPr>
      <w:b w:val="0"/>
      <w:sz w:val="24"/>
      <w:szCs w:val="24"/>
    </w:rPr>
  </w:style>
  <w:style w:type="character" w:customStyle="1" w:styleId="DateChar">
    <w:name w:val="Date Char"/>
    <w:basedOn w:val="DefaultParagraphFont"/>
    <w:link w:val="Date"/>
    <w:uiPriority w:val="13"/>
    <w:rsid w:val="00E17C97"/>
    <w:rPr>
      <w:color w:val="20419A" w:themeColor="text2"/>
      <w:sz w:val="24"/>
      <w:szCs w:val="24"/>
    </w:rPr>
  </w:style>
  <w:style w:type="character" w:styleId="Hyperlink">
    <w:name w:val="Hyperlink"/>
    <w:basedOn w:val="DefaultParagraphFont"/>
    <w:uiPriority w:val="99"/>
    <w:unhideWhenUsed/>
    <w:rsid w:val="00D725A3"/>
    <w:rPr>
      <w:color w:val="0000FF"/>
      <w:u w:val="single"/>
    </w:rPr>
  </w:style>
  <w:style w:type="character" w:customStyle="1" w:styleId="apple-converted-space">
    <w:name w:val="apple-converted-space"/>
    <w:basedOn w:val="DefaultParagraphFont"/>
    <w:rsid w:val="00D725A3"/>
  </w:style>
  <w:style w:type="paragraph" w:styleId="NoSpacing">
    <w:name w:val="No Spacing"/>
    <w:uiPriority w:val="1"/>
    <w:qFormat/>
    <w:rsid w:val="00D725A3"/>
    <w:pPr>
      <w:spacing w:after="0" w:line="240" w:lineRule="auto"/>
    </w:pPr>
  </w:style>
  <w:style w:type="paragraph" w:customStyle="1" w:styleId="p1">
    <w:name w:val="p1"/>
    <w:basedOn w:val="Normal"/>
    <w:rsid w:val="00D725A3"/>
    <w:pPr>
      <w:shd w:val="clear" w:color="auto" w:fill="FCFCFC"/>
    </w:pPr>
    <w:rPr>
      <w:rFonts w:ascii="Arial" w:eastAsiaTheme="minorEastAsia" w:hAnsi="Arial" w:cs="Arial"/>
      <w:sz w:val="15"/>
      <w:szCs w:val="15"/>
      <w:lang w:val="en-US" w:eastAsia="en-US"/>
    </w:rPr>
  </w:style>
  <w:style w:type="character" w:customStyle="1" w:styleId="s1">
    <w:name w:val="s1"/>
    <w:basedOn w:val="DefaultParagraphFont"/>
    <w:rsid w:val="00D725A3"/>
  </w:style>
  <w:style w:type="character" w:styleId="CommentReference">
    <w:name w:val="annotation reference"/>
    <w:basedOn w:val="DefaultParagraphFont"/>
    <w:uiPriority w:val="99"/>
    <w:semiHidden/>
    <w:unhideWhenUsed/>
    <w:rsid w:val="007F6328"/>
    <w:rPr>
      <w:sz w:val="18"/>
      <w:szCs w:val="18"/>
    </w:rPr>
  </w:style>
  <w:style w:type="paragraph" w:styleId="CommentText">
    <w:name w:val="annotation text"/>
    <w:basedOn w:val="Normal"/>
    <w:link w:val="CommentTextChar"/>
    <w:uiPriority w:val="99"/>
    <w:semiHidden/>
    <w:unhideWhenUsed/>
    <w:rsid w:val="007F6328"/>
    <w:rPr>
      <w:rFonts w:asciiTheme="minorHAnsi" w:eastAsiaTheme="minorEastAsia" w:hAnsiTheme="minorHAnsi" w:cstheme="minorBidi"/>
      <w:lang w:eastAsia="en-US"/>
    </w:rPr>
  </w:style>
  <w:style w:type="character" w:customStyle="1" w:styleId="CommentTextChar">
    <w:name w:val="Comment Text Char"/>
    <w:basedOn w:val="DefaultParagraphFont"/>
    <w:link w:val="CommentText"/>
    <w:uiPriority w:val="99"/>
    <w:semiHidden/>
    <w:rsid w:val="007F6328"/>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7F6328"/>
    <w:rPr>
      <w:b/>
      <w:bCs/>
      <w:sz w:val="20"/>
      <w:szCs w:val="20"/>
    </w:rPr>
  </w:style>
  <w:style w:type="character" w:customStyle="1" w:styleId="CommentSubjectChar">
    <w:name w:val="Comment Subject Char"/>
    <w:basedOn w:val="CommentTextChar"/>
    <w:link w:val="CommentSubject"/>
    <w:uiPriority w:val="99"/>
    <w:semiHidden/>
    <w:rsid w:val="007F6328"/>
    <w:rPr>
      <w:rFonts w:eastAsiaTheme="minorEastAsia"/>
      <w:b/>
      <w:bCs/>
      <w:sz w:val="20"/>
      <w:szCs w:val="20"/>
    </w:rPr>
  </w:style>
  <w:style w:type="character" w:customStyle="1" w:styleId="il">
    <w:name w:val="il"/>
    <w:basedOn w:val="DefaultParagraphFont"/>
    <w:rsid w:val="000C6242"/>
  </w:style>
  <w:style w:type="paragraph" w:customStyle="1" w:styleId="p2">
    <w:name w:val="p2"/>
    <w:basedOn w:val="Normal"/>
    <w:rsid w:val="005A28FA"/>
    <w:rPr>
      <w:rFonts w:ascii="Arial" w:eastAsia="Arial Unicode MS" w:hAnsi="Arial" w:cs="Arial"/>
      <w:sz w:val="17"/>
      <w:szCs w:val="17"/>
    </w:rPr>
  </w:style>
  <w:style w:type="paragraph" w:styleId="NormalWeb">
    <w:name w:val="Normal (Web)"/>
    <w:basedOn w:val="Normal"/>
    <w:uiPriority w:val="99"/>
    <w:unhideWhenUsed/>
    <w:rsid w:val="004D6DEF"/>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9A6E0C"/>
    <w:rPr>
      <w:color w:val="20419A" w:themeColor="followedHyperlink"/>
      <w:u w:val="single"/>
    </w:rPr>
  </w:style>
  <w:style w:type="character" w:styleId="UnresolvedMention">
    <w:name w:val="Unresolved Mention"/>
    <w:basedOn w:val="DefaultParagraphFont"/>
    <w:uiPriority w:val="99"/>
    <w:rsid w:val="00C60E15"/>
    <w:rPr>
      <w:color w:val="605E5C"/>
      <w:shd w:val="clear" w:color="auto" w:fill="E1DFDD"/>
    </w:rPr>
  </w:style>
  <w:style w:type="paragraph" w:customStyle="1" w:styleId="Default">
    <w:name w:val="Default"/>
    <w:rsid w:val="001049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79554">
      <w:bodyDiv w:val="1"/>
      <w:marLeft w:val="0"/>
      <w:marRight w:val="0"/>
      <w:marTop w:val="0"/>
      <w:marBottom w:val="0"/>
      <w:divBdr>
        <w:top w:val="none" w:sz="0" w:space="0" w:color="auto"/>
        <w:left w:val="none" w:sz="0" w:space="0" w:color="auto"/>
        <w:bottom w:val="none" w:sz="0" w:space="0" w:color="auto"/>
        <w:right w:val="none" w:sz="0" w:space="0" w:color="auto"/>
      </w:divBdr>
    </w:div>
    <w:div w:id="138036531">
      <w:bodyDiv w:val="1"/>
      <w:marLeft w:val="0"/>
      <w:marRight w:val="0"/>
      <w:marTop w:val="0"/>
      <w:marBottom w:val="0"/>
      <w:divBdr>
        <w:top w:val="none" w:sz="0" w:space="0" w:color="auto"/>
        <w:left w:val="none" w:sz="0" w:space="0" w:color="auto"/>
        <w:bottom w:val="none" w:sz="0" w:space="0" w:color="auto"/>
        <w:right w:val="none" w:sz="0" w:space="0" w:color="auto"/>
      </w:divBdr>
    </w:div>
    <w:div w:id="169179870">
      <w:bodyDiv w:val="1"/>
      <w:marLeft w:val="0"/>
      <w:marRight w:val="0"/>
      <w:marTop w:val="0"/>
      <w:marBottom w:val="0"/>
      <w:divBdr>
        <w:top w:val="none" w:sz="0" w:space="0" w:color="auto"/>
        <w:left w:val="none" w:sz="0" w:space="0" w:color="auto"/>
        <w:bottom w:val="none" w:sz="0" w:space="0" w:color="auto"/>
        <w:right w:val="none" w:sz="0" w:space="0" w:color="auto"/>
      </w:divBdr>
    </w:div>
    <w:div w:id="171140916">
      <w:bodyDiv w:val="1"/>
      <w:marLeft w:val="0"/>
      <w:marRight w:val="0"/>
      <w:marTop w:val="0"/>
      <w:marBottom w:val="0"/>
      <w:divBdr>
        <w:top w:val="none" w:sz="0" w:space="0" w:color="auto"/>
        <w:left w:val="none" w:sz="0" w:space="0" w:color="auto"/>
        <w:bottom w:val="none" w:sz="0" w:space="0" w:color="auto"/>
        <w:right w:val="none" w:sz="0" w:space="0" w:color="auto"/>
      </w:divBdr>
      <w:divsChild>
        <w:div w:id="1759446070">
          <w:marLeft w:val="0"/>
          <w:marRight w:val="0"/>
          <w:marTop w:val="0"/>
          <w:marBottom w:val="0"/>
          <w:divBdr>
            <w:top w:val="none" w:sz="0" w:space="0" w:color="auto"/>
            <w:left w:val="none" w:sz="0" w:space="0" w:color="auto"/>
            <w:bottom w:val="none" w:sz="0" w:space="0" w:color="auto"/>
            <w:right w:val="none" w:sz="0" w:space="0" w:color="auto"/>
          </w:divBdr>
        </w:div>
      </w:divsChild>
    </w:div>
    <w:div w:id="190151852">
      <w:bodyDiv w:val="1"/>
      <w:marLeft w:val="0"/>
      <w:marRight w:val="0"/>
      <w:marTop w:val="0"/>
      <w:marBottom w:val="0"/>
      <w:divBdr>
        <w:top w:val="none" w:sz="0" w:space="0" w:color="auto"/>
        <w:left w:val="none" w:sz="0" w:space="0" w:color="auto"/>
        <w:bottom w:val="none" w:sz="0" w:space="0" w:color="auto"/>
        <w:right w:val="none" w:sz="0" w:space="0" w:color="auto"/>
      </w:divBdr>
    </w:div>
    <w:div w:id="246110109">
      <w:bodyDiv w:val="1"/>
      <w:marLeft w:val="0"/>
      <w:marRight w:val="0"/>
      <w:marTop w:val="0"/>
      <w:marBottom w:val="0"/>
      <w:divBdr>
        <w:top w:val="none" w:sz="0" w:space="0" w:color="auto"/>
        <w:left w:val="none" w:sz="0" w:space="0" w:color="auto"/>
        <w:bottom w:val="none" w:sz="0" w:space="0" w:color="auto"/>
        <w:right w:val="none" w:sz="0" w:space="0" w:color="auto"/>
      </w:divBdr>
      <w:divsChild>
        <w:div w:id="2045909025">
          <w:marLeft w:val="0"/>
          <w:marRight w:val="0"/>
          <w:marTop w:val="0"/>
          <w:marBottom w:val="0"/>
          <w:divBdr>
            <w:top w:val="none" w:sz="0" w:space="0" w:color="auto"/>
            <w:left w:val="none" w:sz="0" w:space="0" w:color="auto"/>
            <w:bottom w:val="none" w:sz="0" w:space="0" w:color="auto"/>
            <w:right w:val="none" w:sz="0" w:space="0" w:color="auto"/>
          </w:divBdr>
          <w:divsChild>
            <w:div w:id="1134906283">
              <w:marLeft w:val="0"/>
              <w:marRight w:val="0"/>
              <w:marTop w:val="0"/>
              <w:marBottom w:val="0"/>
              <w:divBdr>
                <w:top w:val="none" w:sz="0" w:space="0" w:color="auto"/>
                <w:left w:val="none" w:sz="0" w:space="0" w:color="auto"/>
                <w:bottom w:val="none" w:sz="0" w:space="0" w:color="auto"/>
                <w:right w:val="none" w:sz="0" w:space="0" w:color="auto"/>
              </w:divBdr>
            </w:div>
          </w:divsChild>
        </w:div>
        <w:div w:id="1416899820">
          <w:marLeft w:val="0"/>
          <w:marRight w:val="0"/>
          <w:marTop w:val="0"/>
          <w:marBottom w:val="0"/>
          <w:divBdr>
            <w:top w:val="none" w:sz="0" w:space="0" w:color="auto"/>
            <w:left w:val="none" w:sz="0" w:space="0" w:color="auto"/>
            <w:bottom w:val="none" w:sz="0" w:space="0" w:color="auto"/>
            <w:right w:val="none" w:sz="0" w:space="0" w:color="auto"/>
          </w:divBdr>
          <w:divsChild>
            <w:div w:id="855074759">
              <w:marLeft w:val="0"/>
              <w:marRight w:val="0"/>
              <w:marTop w:val="0"/>
              <w:marBottom w:val="0"/>
              <w:divBdr>
                <w:top w:val="none" w:sz="0" w:space="0" w:color="auto"/>
                <w:left w:val="none" w:sz="0" w:space="0" w:color="auto"/>
                <w:bottom w:val="none" w:sz="0" w:space="0" w:color="auto"/>
                <w:right w:val="none" w:sz="0" w:space="0" w:color="auto"/>
              </w:divBdr>
            </w:div>
          </w:divsChild>
        </w:div>
        <w:div w:id="156581485">
          <w:marLeft w:val="0"/>
          <w:marRight w:val="0"/>
          <w:marTop w:val="0"/>
          <w:marBottom w:val="0"/>
          <w:divBdr>
            <w:top w:val="none" w:sz="0" w:space="0" w:color="auto"/>
            <w:left w:val="none" w:sz="0" w:space="0" w:color="auto"/>
            <w:bottom w:val="none" w:sz="0" w:space="0" w:color="auto"/>
            <w:right w:val="none" w:sz="0" w:space="0" w:color="auto"/>
          </w:divBdr>
          <w:divsChild>
            <w:div w:id="1950769813">
              <w:marLeft w:val="0"/>
              <w:marRight w:val="0"/>
              <w:marTop w:val="0"/>
              <w:marBottom w:val="0"/>
              <w:divBdr>
                <w:top w:val="none" w:sz="0" w:space="0" w:color="auto"/>
                <w:left w:val="none" w:sz="0" w:space="0" w:color="auto"/>
                <w:bottom w:val="none" w:sz="0" w:space="0" w:color="auto"/>
                <w:right w:val="none" w:sz="0" w:space="0" w:color="auto"/>
              </w:divBdr>
            </w:div>
          </w:divsChild>
        </w:div>
        <w:div w:id="1336225244">
          <w:marLeft w:val="0"/>
          <w:marRight w:val="0"/>
          <w:marTop w:val="0"/>
          <w:marBottom w:val="0"/>
          <w:divBdr>
            <w:top w:val="none" w:sz="0" w:space="0" w:color="auto"/>
            <w:left w:val="none" w:sz="0" w:space="0" w:color="auto"/>
            <w:bottom w:val="none" w:sz="0" w:space="0" w:color="auto"/>
            <w:right w:val="none" w:sz="0" w:space="0" w:color="auto"/>
          </w:divBdr>
          <w:divsChild>
            <w:div w:id="3100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06876">
      <w:bodyDiv w:val="1"/>
      <w:marLeft w:val="0"/>
      <w:marRight w:val="0"/>
      <w:marTop w:val="0"/>
      <w:marBottom w:val="0"/>
      <w:divBdr>
        <w:top w:val="none" w:sz="0" w:space="0" w:color="auto"/>
        <w:left w:val="none" w:sz="0" w:space="0" w:color="auto"/>
        <w:bottom w:val="none" w:sz="0" w:space="0" w:color="auto"/>
        <w:right w:val="none" w:sz="0" w:space="0" w:color="auto"/>
      </w:divBdr>
    </w:div>
    <w:div w:id="392510301">
      <w:bodyDiv w:val="1"/>
      <w:marLeft w:val="0"/>
      <w:marRight w:val="0"/>
      <w:marTop w:val="0"/>
      <w:marBottom w:val="0"/>
      <w:divBdr>
        <w:top w:val="none" w:sz="0" w:space="0" w:color="auto"/>
        <w:left w:val="none" w:sz="0" w:space="0" w:color="auto"/>
        <w:bottom w:val="none" w:sz="0" w:space="0" w:color="auto"/>
        <w:right w:val="none" w:sz="0" w:space="0" w:color="auto"/>
      </w:divBdr>
    </w:div>
    <w:div w:id="413935387">
      <w:bodyDiv w:val="1"/>
      <w:marLeft w:val="0"/>
      <w:marRight w:val="0"/>
      <w:marTop w:val="0"/>
      <w:marBottom w:val="0"/>
      <w:divBdr>
        <w:top w:val="none" w:sz="0" w:space="0" w:color="auto"/>
        <w:left w:val="none" w:sz="0" w:space="0" w:color="auto"/>
        <w:bottom w:val="none" w:sz="0" w:space="0" w:color="auto"/>
        <w:right w:val="none" w:sz="0" w:space="0" w:color="auto"/>
      </w:divBdr>
    </w:div>
    <w:div w:id="414979125">
      <w:bodyDiv w:val="1"/>
      <w:marLeft w:val="0"/>
      <w:marRight w:val="0"/>
      <w:marTop w:val="0"/>
      <w:marBottom w:val="0"/>
      <w:divBdr>
        <w:top w:val="none" w:sz="0" w:space="0" w:color="auto"/>
        <w:left w:val="none" w:sz="0" w:space="0" w:color="auto"/>
        <w:bottom w:val="none" w:sz="0" w:space="0" w:color="auto"/>
        <w:right w:val="none" w:sz="0" w:space="0" w:color="auto"/>
      </w:divBdr>
      <w:divsChild>
        <w:div w:id="632902352">
          <w:marLeft w:val="0"/>
          <w:marRight w:val="0"/>
          <w:marTop w:val="0"/>
          <w:marBottom w:val="0"/>
          <w:divBdr>
            <w:top w:val="none" w:sz="0" w:space="0" w:color="auto"/>
            <w:left w:val="none" w:sz="0" w:space="0" w:color="auto"/>
            <w:bottom w:val="none" w:sz="0" w:space="0" w:color="auto"/>
            <w:right w:val="none" w:sz="0" w:space="0" w:color="auto"/>
          </w:divBdr>
        </w:div>
        <w:div w:id="953710054">
          <w:marLeft w:val="0"/>
          <w:marRight w:val="0"/>
          <w:marTop w:val="0"/>
          <w:marBottom w:val="0"/>
          <w:divBdr>
            <w:top w:val="none" w:sz="0" w:space="0" w:color="auto"/>
            <w:left w:val="none" w:sz="0" w:space="0" w:color="auto"/>
            <w:bottom w:val="none" w:sz="0" w:space="0" w:color="auto"/>
            <w:right w:val="none" w:sz="0" w:space="0" w:color="auto"/>
          </w:divBdr>
        </w:div>
      </w:divsChild>
    </w:div>
    <w:div w:id="486896784">
      <w:bodyDiv w:val="1"/>
      <w:marLeft w:val="0"/>
      <w:marRight w:val="0"/>
      <w:marTop w:val="0"/>
      <w:marBottom w:val="0"/>
      <w:divBdr>
        <w:top w:val="none" w:sz="0" w:space="0" w:color="auto"/>
        <w:left w:val="none" w:sz="0" w:space="0" w:color="auto"/>
        <w:bottom w:val="none" w:sz="0" w:space="0" w:color="auto"/>
        <w:right w:val="none" w:sz="0" w:space="0" w:color="auto"/>
      </w:divBdr>
    </w:div>
    <w:div w:id="566569728">
      <w:bodyDiv w:val="1"/>
      <w:marLeft w:val="0"/>
      <w:marRight w:val="0"/>
      <w:marTop w:val="0"/>
      <w:marBottom w:val="0"/>
      <w:divBdr>
        <w:top w:val="none" w:sz="0" w:space="0" w:color="auto"/>
        <w:left w:val="none" w:sz="0" w:space="0" w:color="auto"/>
        <w:bottom w:val="none" w:sz="0" w:space="0" w:color="auto"/>
        <w:right w:val="none" w:sz="0" w:space="0" w:color="auto"/>
      </w:divBdr>
    </w:div>
    <w:div w:id="583221479">
      <w:bodyDiv w:val="1"/>
      <w:marLeft w:val="0"/>
      <w:marRight w:val="0"/>
      <w:marTop w:val="0"/>
      <w:marBottom w:val="0"/>
      <w:divBdr>
        <w:top w:val="none" w:sz="0" w:space="0" w:color="auto"/>
        <w:left w:val="none" w:sz="0" w:space="0" w:color="auto"/>
        <w:bottom w:val="none" w:sz="0" w:space="0" w:color="auto"/>
        <w:right w:val="none" w:sz="0" w:space="0" w:color="auto"/>
      </w:divBdr>
      <w:divsChild>
        <w:div w:id="1963723771">
          <w:marLeft w:val="0"/>
          <w:marRight w:val="0"/>
          <w:marTop w:val="0"/>
          <w:marBottom w:val="0"/>
          <w:divBdr>
            <w:top w:val="none" w:sz="0" w:space="0" w:color="auto"/>
            <w:left w:val="none" w:sz="0" w:space="0" w:color="auto"/>
            <w:bottom w:val="none" w:sz="0" w:space="0" w:color="auto"/>
            <w:right w:val="none" w:sz="0" w:space="0" w:color="auto"/>
          </w:divBdr>
        </w:div>
        <w:div w:id="2129278749">
          <w:marLeft w:val="0"/>
          <w:marRight w:val="0"/>
          <w:marTop w:val="0"/>
          <w:marBottom w:val="0"/>
          <w:divBdr>
            <w:top w:val="none" w:sz="0" w:space="0" w:color="auto"/>
            <w:left w:val="none" w:sz="0" w:space="0" w:color="auto"/>
            <w:bottom w:val="none" w:sz="0" w:space="0" w:color="auto"/>
            <w:right w:val="none" w:sz="0" w:space="0" w:color="auto"/>
          </w:divBdr>
        </w:div>
      </w:divsChild>
    </w:div>
    <w:div w:id="598175171">
      <w:bodyDiv w:val="1"/>
      <w:marLeft w:val="0"/>
      <w:marRight w:val="0"/>
      <w:marTop w:val="0"/>
      <w:marBottom w:val="0"/>
      <w:divBdr>
        <w:top w:val="none" w:sz="0" w:space="0" w:color="auto"/>
        <w:left w:val="none" w:sz="0" w:space="0" w:color="auto"/>
        <w:bottom w:val="none" w:sz="0" w:space="0" w:color="auto"/>
        <w:right w:val="none" w:sz="0" w:space="0" w:color="auto"/>
      </w:divBdr>
      <w:divsChild>
        <w:div w:id="1510214899">
          <w:marLeft w:val="0"/>
          <w:marRight w:val="0"/>
          <w:marTop w:val="0"/>
          <w:marBottom w:val="0"/>
          <w:divBdr>
            <w:top w:val="none" w:sz="0" w:space="0" w:color="auto"/>
            <w:left w:val="none" w:sz="0" w:space="0" w:color="auto"/>
            <w:bottom w:val="none" w:sz="0" w:space="0" w:color="auto"/>
            <w:right w:val="none" w:sz="0" w:space="0" w:color="auto"/>
          </w:divBdr>
          <w:divsChild>
            <w:div w:id="91777430">
              <w:marLeft w:val="0"/>
              <w:marRight w:val="0"/>
              <w:marTop w:val="0"/>
              <w:marBottom w:val="0"/>
              <w:divBdr>
                <w:top w:val="none" w:sz="0" w:space="0" w:color="auto"/>
                <w:left w:val="none" w:sz="0" w:space="0" w:color="auto"/>
                <w:bottom w:val="none" w:sz="0" w:space="0" w:color="auto"/>
                <w:right w:val="none" w:sz="0" w:space="0" w:color="auto"/>
              </w:divBdr>
              <w:divsChild>
                <w:div w:id="1163276828">
                  <w:marLeft w:val="0"/>
                  <w:marRight w:val="0"/>
                  <w:marTop w:val="0"/>
                  <w:marBottom w:val="0"/>
                  <w:divBdr>
                    <w:top w:val="none" w:sz="0" w:space="0" w:color="auto"/>
                    <w:left w:val="none" w:sz="0" w:space="0" w:color="auto"/>
                    <w:bottom w:val="none" w:sz="0" w:space="0" w:color="auto"/>
                    <w:right w:val="none" w:sz="0" w:space="0" w:color="auto"/>
                  </w:divBdr>
                  <w:divsChild>
                    <w:div w:id="33942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618614">
      <w:bodyDiv w:val="1"/>
      <w:marLeft w:val="0"/>
      <w:marRight w:val="0"/>
      <w:marTop w:val="0"/>
      <w:marBottom w:val="0"/>
      <w:divBdr>
        <w:top w:val="none" w:sz="0" w:space="0" w:color="auto"/>
        <w:left w:val="none" w:sz="0" w:space="0" w:color="auto"/>
        <w:bottom w:val="none" w:sz="0" w:space="0" w:color="auto"/>
        <w:right w:val="none" w:sz="0" w:space="0" w:color="auto"/>
      </w:divBdr>
    </w:div>
    <w:div w:id="685327214">
      <w:bodyDiv w:val="1"/>
      <w:marLeft w:val="0"/>
      <w:marRight w:val="0"/>
      <w:marTop w:val="0"/>
      <w:marBottom w:val="0"/>
      <w:divBdr>
        <w:top w:val="none" w:sz="0" w:space="0" w:color="auto"/>
        <w:left w:val="none" w:sz="0" w:space="0" w:color="auto"/>
        <w:bottom w:val="none" w:sz="0" w:space="0" w:color="auto"/>
        <w:right w:val="none" w:sz="0" w:space="0" w:color="auto"/>
      </w:divBdr>
    </w:div>
    <w:div w:id="730418985">
      <w:bodyDiv w:val="1"/>
      <w:marLeft w:val="0"/>
      <w:marRight w:val="0"/>
      <w:marTop w:val="0"/>
      <w:marBottom w:val="0"/>
      <w:divBdr>
        <w:top w:val="none" w:sz="0" w:space="0" w:color="auto"/>
        <w:left w:val="none" w:sz="0" w:space="0" w:color="auto"/>
        <w:bottom w:val="none" w:sz="0" w:space="0" w:color="auto"/>
        <w:right w:val="none" w:sz="0" w:space="0" w:color="auto"/>
      </w:divBdr>
    </w:div>
    <w:div w:id="783811295">
      <w:bodyDiv w:val="1"/>
      <w:marLeft w:val="0"/>
      <w:marRight w:val="0"/>
      <w:marTop w:val="0"/>
      <w:marBottom w:val="0"/>
      <w:divBdr>
        <w:top w:val="none" w:sz="0" w:space="0" w:color="auto"/>
        <w:left w:val="none" w:sz="0" w:space="0" w:color="auto"/>
        <w:bottom w:val="none" w:sz="0" w:space="0" w:color="auto"/>
        <w:right w:val="none" w:sz="0" w:space="0" w:color="auto"/>
      </w:divBdr>
    </w:div>
    <w:div w:id="832449316">
      <w:bodyDiv w:val="1"/>
      <w:marLeft w:val="0"/>
      <w:marRight w:val="0"/>
      <w:marTop w:val="0"/>
      <w:marBottom w:val="0"/>
      <w:divBdr>
        <w:top w:val="none" w:sz="0" w:space="0" w:color="auto"/>
        <w:left w:val="none" w:sz="0" w:space="0" w:color="auto"/>
        <w:bottom w:val="none" w:sz="0" w:space="0" w:color="auto"/>
        <w:right w:val="none" w:sz="0" w:space="0" w:color="auto"/>
      </w:divBdr>
    </w:div>
    <w:div w:id="911767925">
      <w:bodyDiv w:val="1"/>
      <w:marLeft w:val="0"/>
      <w:marRight w:val="0"/>
      <w:marTop w:val="0"/>
      <w:marBottom w:val="0"/>
      <w:divBdr>
        <w:top w:val="none" w:sz="0" w:space="0" w:color="auto"/>
        <w:left w:val="none" w:sz="0" w:space="0" w:color="auto"/>
        <w:bottom w:val="none" w:sz="0" w:space="0" w:color="auto"/>
        <w:right w:val="none" w:sz="0" w:space="0" w:color="auto"/>
      </w:divBdr>
    </w:div>
    <w:div w:id="929463939">
      <w:bodyDiv w:val="1"/>
      <w:marLeft w:val="0"/>
      <w:marRight w:val="0"/>
      <w:marTop w:val="0"/>
      <w:marBottom w:val="0"/>
      <w:divBdr>
        <w:top w:val="none" w:sz="0" w:space="0" w:color="auto"/>
        <w:left w:val="none" w:sz="0" w:space="0" w:color="auto"/>
        <w:bottom w:val="none" w:sz="0" w:space="0" w:color="auto"/>
        <w:right w:val="none" w:sz="0" w:space="0" w:color="auto"/>
      </w:divBdr>
    </w:div>
    <w:div w:id="977808568">
      <w:bodyDiv w:val="1"/>
      <w:marLeft w:val="0"/>
      <w:marRight w:val="0"/>
      <w:marTop w:val="0"/>
      <w:marBottom w:val="0"/>
      <w:divBdr>
        <w:top w:val="none" w:sz="0" w:space="0" w:color="auto"/>
        <w:left w:val="none" w:sz="0" w:space="0" w:color="auto"/>
        <w:bottom w:val="none" w:sz="0" w:space="0" w:color="auto"/>
        <w:right w:val="none" w:sz="0" w:space="0" w:color="auto"/>
      </w:divBdr>
      <w:divsChild>
        <w:div w:id="872887575">
          <w:marLeft w:val="0"/>
          <w:marRight w:val="0"/>
          <w:marTop w:val="0"/>
          <w:marBottom w:val="0"/>
          <w:divBdr>
            <w:top w:val="none" w:sz="0" w:space="0" w:color="auto"/>
            <w:left w:val="none" w:sz="0" w:space="0" w:color="auto"/>
            <w:bottom w:val="none" w:sz="0" w:space="0" w:color="auto"/>
            <w:right w:val="none" w:sz="0" w:space="0" w:color="auto"/>
          </w:divBdr>
        </w:div>
      </w:divsChild>
    </w:div>
    <w:div w:id="1008289893">
      <w:bodyDiv w:val="1"/>
      <w:marLeft w:val="0"/>
      <w:marRight w:val="0"/>
      <w:marTop w:val="0"/>
      <w:marBottom w:val="0"/>
      <w:divBdr>
        <w:top w:val="none" w:sz="0" w:space="0" w:color="auto"/>
        <w:left w:val="none" w:sz="0" w:space="0" w:color="auto"/>
        <w:bottom w:val="none" w:sz="0" w:space="0" w:color="auto"/>
        <w:right w:val="none" w:sz="0" w:space="0" w:color="auto"/>
      </w:divBdr>
    </w:div>
    <w:div w:id="1015688718">
      <w:bodyDiv w:val="1"/>
      <w:marLeft w:val="0"/>
      <w:marRight w:val="0"/>
      <w:marTop w:val="0"/>
      <w:marBottom w:val="0"/>
      <w:divBdr>
        <w:top w:val="none" w:sz="0" w:space="0" w:color="auto"/>
        <w:left w:val="none" w:sz="0" w:space="0" w:color="auto"/>
        <w:bottom w:val="none" w:sz="0" w:space="0" w:color="auto"/>
        <w:right w:val="none" w:sz="0" w:space="0" w:color="auto"/>
      </w:divBdr>
    </w:div>
    <w:div w:id="1050615255">
      <w:bodyDiv w:val="1"/>
      <w:marLeft w:val="0"/>
      <w:marRight w:val="0"/>
      <w:marTop w:val="0"/>
      <w:marBottom w:val="0"/>
      <w:divBdr>
        <w:top w:val="none" w:sz="0" w:space="0" w:color="auto"/>
        <w:left w:val="none" w:sz="0" w:space="0" w:color="auto"/>
        <w:bottom w:val="none" w:sz="0" w:space="0" w:color="auto"/>
        <w:right w:val="none" w:sz="0" w:space="0" w:color="auto"/>
      </w:divBdr>
    </w:div>
    <w:div w:id="1105270727">
      <w:bodyDiv w:val="1"/>
      <w:marLeft w:val="0"/>
      <w:marRight w:val="0"/>
      <w:marTop w:val="0"/>
      <w:marBottom w:val="0"/>
      <w:divBdr>
        <w:top w:val="none" w:sz="0" w:space="0" w:color="auto"/>
        <w:left w:val="none" w:sz="0" w:space="0" w:color="auto"/>
        <w:bottom w:val="none" w:sz="0" w:space="0" w:color="auto"/>
        <w:right w:val="none" w:sz="0" w:space="0" w:color="auto"/>
      </w:divBdr>
    </w:div>
    <w:div w:id="1190559578">
      <w:bodyDiv w:val="1"/>
      <w:marLeft w:val="0"/>
      <w:marRight w:val="0"/>
      <w:marTop w:val="0"/>
      <w:marBottom w:val="0"/>
      <w:divBdr>
        <w:top w:val="none" w:sz="0" w:space="0" w:color="auto"/>
        <w:left w:val="none" w:sz="0" w:space="0" w:color="auto"/>
        <w:bottom w:val="none" w:sz="0" w:space="0" w:color="auto"/>
        <w:right w:val="none" w:sz="0" w:space="0" w:color="auto"/>
      </w:divBdr>
      <w:divsChild>
        <w:div w:id="2107117497">
          <w:marLeft w:val="0"/>
          <w:marRight w:val="0"/>
          <w:marTop w:val="0"/>
          <w:marBottom w:val="0"/>
          <w:divBdr>
            <w:top w:val="none" w:sz="0" w:space="0" w:color="auto"/>
            <w:left w:val="none" w:sz="0" w:space="0" w:color="auto"/>
            <w:bottom w:val="none" w:sz="0" w:space="0" w:color="auto"/>
            <w:right w:val="none" w:sz="0" w:space="0" w:color="auto"/>
          </w:divBdr>
          <w:divsChild>
            <w:div w:id="1826044508">
              <w:marLeft w:val="0"/>
              <w:marRight w:val="0"/>
              <w:marTop w:val="0"/>
              <w:marBottom w:val="0"/>
              <w:divBdr>
                <w:top w:val="none" w:sz="0" w:space="0" w:color="auto"/>
                <w:left w:val="none" w:sz="0" w:space="0" w:color="auto"/>
                <w:bottom w:val="none" w:sz="0" w:space="0" w:color="auto"/>
                <w:right w:val="none" w:sz="0" w:space="0" w:color="auto"/>
              </w:divBdr>
            </w:div>
          </w:divsChild>
        </w:div>
        <w:div w:id="1798140749">
          <w:marLeft w:val="0"/>
          <w:marRight w:val="0"/>
          <w:marTop w:val="0"/>
          <w:marBottom w:val="0"/>
          <w:divBdr>
            <w:top w:val="none" w:sz="0" w:space="0" w:color="auto"/>
            <w:left w:val="none" w:sz="0" w:space="0" w:color="auto"/>
            <w:bottom w:val="none" w:sz="0" w:space="0" w:color="auto"/>
            <w:right w:val="none" w:sz="0" w:space="0" w:color="auto"/>
          </w:divBdr>
          <w:divsChild>
            <w:div w:id="901795641">
              <w:marLeft w:val="0"/>
              <w:marRight w:val="0"/>
              <w:marTop w:val="0"/>
              <w:marBottom w:val="0"/>
              <w:divBdr>
                <w:top w:val="none" w:sz="0" w:space="0" w:color="auto"/>
                <w:left w:val="none" w:sz="0" w:space="0" w:color="auto"/>
                <w:bottom w:val="none" w:sz="0" w:space="0" w:color="auto"/>
                <w:right w:val="none" w:sz="0" w:space="0" w:color="auto"/>
              </w:divBdr>
            </w:div>
          </w:divsChild>
        </w:div>
        <w:div w:id="20131044">
          <w:marLeft w:val="0"/>
          <w:marRight w:val="0"/>
          <w:marTop w:val="0"/>
          <w:marBottom w:val="0"/>
          <w:divBdr>
            <w:top w:val="none" w:sz="0" w:space="0" w:color="auto"/>
            <w:left w:val="none" w:sz="0" w:space="0" w:color="auto"/>
            <w:bottom w:val="none" w:sz="0" w:space="0" w:color="auto"/>
            <w:right w:val="none" w:sz="0" w:space="0" w:color="auto"/>
          </w:divBdr>
          <w:divsChild>
            <w:div w:id="79837241">
              <w:marLeft w:val="0"/>
              <w:marRight w:val="0"/>
              <w:marTop w:val="0"/>
              <w:marBottom w:val="0"/>
              <w:divBdr>
                <w:top w:val="none" w:sz="0" w:space="0" w:color="auto"/>
                <w:left w:val="none" w:sz="0" w:space="0" w:color="auto"/>
                <w:bottom w:val="none" w:sz="0" w:space="0" w:color="auto"/>
                <w:right w:val="none" w:sz="0" w:space="0" w:color="auto"/>
              </w:divBdr>
            </w:div>
          </w:divsChild>
        </w:div>
        <w:div w:id="845750195">
          <w:marLeft w:val="0"/>
          <w:marRight w:val="0"/>
          <w:marTop w:val="0"/>
          <w:marBottom w:val="0"/>
          <w:divBdr>
            <w:top w:val="none" w:sz="0" w:space="0" w:color="auto"/>
            <w:left w:val="none" w:sz="0" w:space="0" w:color="auto"/>
            <w:bottom w:val="none" w:sz="0" w:space="0" w:color="auto"/>
            <w:right w:val="none" w:sz="0" w:space="0" w:color="auto"/>
          </w:divBdr>
          <w:divsChild>
            <w:div w:id="10422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34275">
      <w:bodyDiv w:val="1"/>
      <w:marLeft w:val="0"/>
      <w:marRight w:val="0"/>
      <w:marTop w:val="0"/>
      <w:marBottom w:val="0"/>
      <w:divBdr>
        <w:top w:val="none" w:sz="0" w:space="0" w:color="auto"/>
        <w:left w:val="none" w:sz="0" w:space="0" w:color="auto"/>
        <w:bottom w:val="none" w:sz="0" w:space="0" w:color="auto"/>
        <w:right w:val="none" w:sz="0" w:space="0" w:color="auto"/>
      </w:divBdr>
    </w:div>
    <w:div w:id="1334720269">
      <w:bodyDiv w:val="1"/>
      <w:marLeft w:val="0"/>
      <w:marRight w:val="0"/>
      <w:marTop w:val="0"/>
      <w:marBottom w:val="0"/>
      <w:divBdr>
        <w:top w:val="none" w:sz="0" w:space="0" w:color="auto"/>
        <w:left w:val="none" w:sz="0" w:space="0" w:color="auto"/>
        <w:bottom w:val="none" w:sz="0" w:space="0" w:color="auto"/>
        <w:right w:val="none" w:sz="0" w:space="0" w:color="auto"/>
      </w:divBdr>
    </w:div>
    <w:div w:id="1435401118">
      <w:bodyDiv w:val="1"/>
      <w:marLeft w:val="0"/>
      <w:marRight w:val="0"/>
      <w:marTop w:val="0"/>
      <w:marBottom w:val="0"/>
      <w:divBdr>
        <w:top w:val="none" w:sz="0" w:space="0" w:color="auto"/>
        <w:left w:val="none" w:sz="0" w:space="0" w:color="auto"/>
        <w:bottom w:val="none" w:sz="0" w:space="0" w:color="auto"/>
        <w:right w:val="none" w:sz="0" w:space="0" w:color="auto"/>
      </w:divBdr>
    </w:div>
    <w:div w:id="1534072720">
      <w:bodyDiv w:val="1"/>
      <w:marLeft w:val="0"/>
      <w:marRight w:val="0"/>
      <w:marTop w:val="0"/>
      <w:marBottom w:val="0"/>
      <w:divBdr>
        <w:top w:val="none" w:sz="0" w:space="0" w:color="auto"/>
        <w:left w:val="none" w:sz="0" w:space="0" w:color="auto"/>
        <w:bottom w:val="none" w:sz="0" w:space="0" w:color="auto"/>
        <w:right w:val="none" w:sz="0" w:space="0" w:color="auto"/>
      </w:divBdr>
    </w:div>
    <w:div w:id="1703508185">
      <w:bodyDiv w:val="1"/>
      <w:marLeft w:val="0"/>
      <w:marRight w:val="0"/>
      <w:marTop w:val="0"/>
      <w:marBottom w:val="0"/>
      <w:divBdr>
        <w:top w:val="none" w:sz="0" w:space="0" w:color="auto"/>
        <w:left w:val="none" w:sz="0" w:space="0" w:color="auto"/>
        <w:bottom w:val="none" w:sz="0" w:space="0" w:color="auto"/>
        <w:right w:val="none" w:sz="0" w:space="0" w:color="auto"/>
      </w:divBdr>
    </w:div>
    <w:div w:id="1797872601">
      <w:bodyDiv w:val="1"/>
      <w:marLeft w:val="0"/>
      <w:marRight w:val="0"/>
      <w:marTop w:val="0"/>
      <w:marBottom w:val="0"/>
      <w:divBdr>
        <w:top w:val="none" w:sz="0" w:space="0" w:color="auto"/>
        <w:left w:val="none" w:sz="0" w:space="0" w:color="auto"/>
        <w:bottom w:val="none" w:sz="0" w:space="0" w:color="auto"/>
        <w:right w:val="none" w:sz="0" w:space="0" w:color="auto"/>
      </w:divBdr>
    </w:div>
    <w:div w:id="1847790901">
      <w:bodyDiv w:val="1"/>
      <w:marLeft w:val="0"/>
      <w:marRight w:val="0"/>
      <w:marTop w:val="0"/>
      <w:marBottom w:val="0"/>
      <w:divBdr>
        <w:top w:val="none" w:sz="0" w:space="0" w:color="auto"/>
        <w:left w:val="none" w:sz="0" w:space="0" w:color="auto"/>
        <w:bottom w:val="none" w:sz="0" w:space="0" w:color="auto"/>
        <w:right w:val="none" w:sz="0" w:space="0" w:color="auto"/>
      </w:divBdr>
    </w:div>
    <w:div w:id="1901398901">
      <w:bodyDiv w:val="1"/>
      <w:marLeft w:val="0"/>
      <w:marRight w:val="0"/>
      <w:marTop w:val="0"/>
      <w:marBottom w:val="0"/>
      <w:divBdr>
        <w:top w:val="none" w:sz="0" w:space="0" w:color="auto"/>
        <w:left w:val="none" w:sz="0" w:space="0" w:color="auto"/>
        <w:bottom w:val="none" w:sz="0" w:space="0" w:color="auto"/>
        <w:right w:val="none" w:sz="0" w:space="0" w:color="auto"/>
      </w:divBdr>
    </w:div>
    <w:div w:id="1926307643">
      <w:bodyDiv w:val="1"/>
      <w:marLeft w:val="0"/>
      <w:marRight w:val="0"/>
      <w:marTop w:val="0"/>
      <w:marBottom w:val="0"/>
      <w:divBdr>
        <w:top w:val="none" w:sz="0" w:space="0" w:color="auto"/>
        <w:left w:val="none" w:sz="0" w:space="0" w:color="auto"/>
        <w:bottom w:val="none" w:sz="0" w:space="0" w:color="auto"/>
        <w:right w:val="none" w:sz="0" w:space="0" w:color="auto"/>
      </w:divBdr>
    </w:div>
    <w:div w:id="1946419237">
      <w:bodyDiv w:val="1"/>
      <w:marLeft w:val="0"/>
      <w:marRight w:val="0"/>
      <w:marTop w:val="0"/>
      <w:marBottom w:val="0"/>
      <w:divBdr>
        <w:top w:val="none" w:sz="0" w:space="0" w:color="auto"/>
        <w:left w:val="none" w:sz="0" w:space="0" w:color="auto"/>
        <w:bottom w:val="none" w:sz="0" w:space="0" w:color="auto"/>
        <w:right w:val="none" w:sz="0" w:space="0" w:color="auto"/>
      </w:divBdr>
    </w:div>
    <w:div w:id="2008052050">
      <w:bodyDiv w:val="1"/>
      <w:marLeft w:val="0"/>
      <w:marRight w:val="0"/>
      <w:marTop w:val="0"/>
      <w:marBottom w:val="0"/>
      <w:divBdr>
        <w:top w:val="none" w:sz="0" w:space="0" w:color="auto"/>
        <w:left w:val="none" w:sz="0" w:space="0" w:color="auto"/>
        <w:bottom w:val="none" w:sz="0" w:space="0" w:color="auto"/>
        <w:right w:val="none" w:sz="0" w:space="0" w:color="auto"/>
      </w:divBdr>
    </w:div>
    <w:div w:id="2037611002">
      <w:bodyDiv w:val="1"/>
      <w:marLeft w:val="0"/>
      <w:marRight w:val="0"/>
      <w:marTop w:val="0"/>
      <w:marBottom w:val="0"/>
      <w:divBdr>
        <w:top w:val="none" w:sz="0" w:space="0" w:color="auto"/>
        <w:left w:val="none" w:sz="0" w:space="0" w:color="auto"/>
        <w:bottom w:val="none" w:sz="0" w:space="0" w:color="auto"/>
        <w:right w:val="none" w:sz="0" w:space="0" w:color="auto"/>
      </w:divBdr>
      <w:divsChild>
        <w:div w:id="449318502">
          <w:marLeft w:val="0"/>
          <w:marRight w:val="0"/>
          <w:marTop w:val="0"/>
          <w:marBottom w:val="0"/>
          <w:divBdr>
            <w:top w:val="none" w:sz="0" w:space="0" w:color="auto"/>
            <w:left w:val="none" w:sz="0" w:space="0" w:color="auto"/>
            <w:bottom w:val="none" w:sz="0" w:space="0" w:color="auto"/>
            <w:right w:val="none" w:sz="0" w:space="0" w:color="auto"/>
          </w:divBdr>
          <w:divsChild>
            <w:div w:id="776678684">
              <w:marLeft w:val="0"/>
              <w:marRight w:val="0"/>
              <w:marTop w:val="0"/>
              <w:marBottom w:val="0"/>
              <w:divBdr>
                <w:top w:val="none" w:sz="0" w:space="0" w:color="auto"/>
                <w:left w:val="none" w:sz="0" w:space="0" w:color="auto"/>
                <w:bottom w:val="none" w:sz="0" w:space="0" w:color="auto"/>
                <w:right w:val="none" w:sz="0" w:space="0" w:color="auto"/>
              </w:divBdr>
              <w:divsChild>
                <w:div w:id="1405910746">
                  <w:marLeft w:val="0"/>
                  <w:marRight w:val="0"/>
                  <w:marTop w:val="0"/>
                  <w:marBottom w:val="0"/>
                  <w:divBdr>
                    <w:top w:val="none" w:sz="0" w:space="0" w:color="auto"/>
                    <w:left w:val="none" w:sz="0" w:space="0" w:color="auto"/>
                    <w:bottom w:val="none" w:sz="0" w:space="0" w:color="auto"/>
                    <w:right w:val="none" w:sz="0" w:space="0" w:color="auto"/>
                  </w:divBdr>
                  <w:divsChild>
                    <w:div w:id="9164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249311">
      <w:bodyDiv w:val="1"/>
      <w:marLeft w:val="0"/>
      <w:marRight w:val="0"/>
      <w:marTop w:val="0"/>
      <w:marBottom w:val="0"/>
      <w:divBdr>
        <w:top w:val="none" w:sz="0" w:space="0" w:color="auto"/>
        <w:left w:val="none" w:sz="0" w:space="0" w:color="auto"/>
        <w:bottom w:val="none" w:sz="0" w:space="0" w:color="auto"/>
        <w:right w:val="none" w:sz="0" w:space="0" w:color="auto"/>
      </w:divBdr>
    </w:div>
    <w:div w:id="2075812075">
      <w:bodyDiv w:val="1"/>
      <w:marLeft w:val="0"/>
      <w:marRight w:val="0"/>
      <w:marTop w:val="0"/>
      <w:marBottom w:val="0"/>
      <w:divBdr>
        <w:top w:val="none" w:sz="0" w:space="0" w:color="auto"/>
        <w:left w:val="none" w:sz="0" w:space="0" w:color="auto"/>
        <w:bottom w:val="none" w:sz="0" w:space="0" w:color="auto"/>
        <w:right w:val="none" w:sz="0" w:space="0" w:color="auto"/>
      </w:divBdr>
    </w:div>
    <w:div w:id="2083747239">
      <w:bodyDiv w:val="1"/>
      <w:marLeft w:val="0"/>
      <w:marRight w:val="0"/>
      <w:marTop w:val="0"/>
      <w:marBottom w:val="0"/>
      <w:divBdr>
        <w:top w:val="none" w:sz="0" w:space="0" w:color="auto"/>
        <w:left w:val="none" w:sz="0" w:space="0" w:color="auto"/>
        <w:bottom w:val="none" w:sz="0" w:space="0" w:color="auto"/>
        <w:right w:val="none" w:sz="0" w:space="0" w:color="auto"/>
      </w:divBdr>
    </w:div>
    <w:div w:id="211991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wfme.org/" TargetMode="External"/><Relationship Id="rId13" Type="http://schemas.openxmlformats.org/officeDocument/2006/relationships/hyperlink" Target="https://www.anvur.it/" TargetMode="External"/><Relationship Id="rId18" Type="http://schemas.openxmlformats.org/officeDocument/2006/relationships/hyperlink" Target="http://www.nat.r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mailto:accreditation@wfme.org" TargetMode="External"/><Relationship Id="rId7" Type="http://schemas.openxmlformats.org/officeDocument/2006/relationships/hyperlink" Target="https://www.coneau.gob.ar/coneau/" TargetMode="External"/><Relationship Id="rId12" Type="http://schemas.openxmlformats.org/officeDocument/2006/relationships/hyperlink" Target="http://www.wfme.org" TargetMode="External"/><Relationship Id="rId17" Type="http://schemas.openxmlformats.org/officeDocument/2006/relationships/hyperlink" Target="https://nauvs.cz/index.php/en/"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coneau.gob.ar/coneau/" TargetMode="External"/><Relationship Id="rId20" Type="http://schemas.openxmlformats.org/officeDocument/2006/relationships/hyperlink" Target="https://wfme.org/recognition/accrediting-agencies-stat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fme.org"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saahe.sk/" TargetMode="External"/><Relationship Id="rId23" Type="http://schemas.openxmlformats.org/officeDocument/2006/relationships/footer" Target="footer1.xml"/><Relationship Id="rId10" Type="http://schemas.openxmlformats.org/officeDocument/2006/relationships/hyperlink" Target="http://www.faimer.org/resources/dora/index.html" TargetMode="External"/><Relationship Id="rId19" Type="http://schemas.openxmlformats.org/officeDocument/2006/relationships/hyperlink" Target="https://neaa.government.bg/en/" TargetMode="External"/><Relationship Id="rId4" Type="http://schemas.openxmlformats.org/officeDocument/2006/relationships/webSettings" Target="webSettings.xml"/><Relationship Id="rId9" Type="http://schemas.openxmlformats.org/officeDocument/2006/relationships/hyperlink" Target="https://wfme.org/recognition/" TargetMode="External"/><Relationship Id="rId14" Type="http://schemas.openxmlformats.org/officeDocument/2006/relationships/hyperlink" Target="http://www.cnachile.cl/"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wfme">
      <a:dk1>
        <a:srgbClr val="000000"/>
      </a:dk1>
      <a:lt1>
        <a:sysClr val="window" lastClr="FFFFFF"/>
      </a:lt1>
      <a:dk2>
        <a:srgbClr val="20419A"/>
      </a:dk2>
      <a:lt2>
        <a:srgbClr val="C4DCF3"/>
      </a:lt2>
      <a:accent1>
        <a:srgbClr val="FFFFFF"/>
      </a:accent1>
      <a:accent2>
        <a:srgbClr val="20419A"/>
      </a:accent2>
      <a:accent3>
        <a:srgbClr val="9BBB59"/>
      </a:accent3>
      <a:accent4>
        <a:srgbClr val="8064A2"/>
      </a:accent4>
      <a:accent5>
        <a:srgbClr val="4BACC6"/>
      </a:accent5>
      <a:accent6>
        <a:srgbClr val="F79646"/>
      </a:accent6>
      <a:hlink>
        <a:srgbClr val="20419A"/>
      </a:hlink>
      <a:folHlink>
        <a:srgbClr val="20419A"/>
      </a:folHlink>
    </a:clrScheme>
    <a:fontScheme name="wf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1530</Words>
  <Characters>8723</Characters>
  <Application>Microsoft Office Word</Application>
  <DocSecurity>0</DocSecurity>
  <Lines>72</Lines>
  <Paragraphs>20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10233</CharactersWithSpaces>
  <SharedDoc>false</SharedDoc>
  <HLinks>
    <vt:vector size="42" baseType="variant">
      <vt:variant>
        <vt:i4>7929862</vt:i4>
      </vt:variant>
      <vt:variant>
        <vt:i4>18</vt:i4>
      </vt:variant>
      <vt:variant>
        <vt:i4>0</vt:i4>
      </vt:variant>
      <vt:variant>
        <vt:i4>5</vt:i4>
      </vt:variant>
      <vt:variant>
        <vt:lpwstr>mailto:mailto:accreditation@wfme.org</vt:lpwstr>
      </vt:variant>
      <vt:variant>
        <vt:lpwstr/>
      </vt:variant>
      <vt:variant>
        <vt:i4>6160463</vt:i4>
      </vt:variant>
      <vt:variant>
        <vt:i4>15</vt:i4>
      </vt:variant>
      <vt:variant>
        <vt:i4>0</vt:i4>
      </vt:variant>
      <vt:variant>
        <vt:i4>5</vt:i4>
      </vt:variant>
      <vt:variant>
        <vt:lpwstr>https://wfme.org/recognition/accrediting-agencies-status/</vt:lpwstr>
      </vt:variant>
      <vt:variant>
        <vt:lpwstr/>
      </vt:variant>
      <vt:variant>
        <vt:i4>4325467</vt:i4>
      </vt:variant>
      <vt:variant>
        <vt:i4>12</vt:i4>
      </vt:variant>
      <vt:variant>
        <vt:i4>0</vt:i4>
      </vt:variant>
      <vt:variant>
        <vt:i4>5</vt:i4>
      </vt:variant>
      <vt:variant>
        <vt:lpwstr>http://www.wfme.org/</vt:lpwstr>
      </vt:variant>
      <vt:variant>
        <vt:lpwstr/>
      </vt:variant>
      <vt:variant>
        <vt:i4>4325467</vt:i4>
      </vt:variant>
      <vt:variant>
        <vt:i4>9</vt:i4>
      </vt:variant>
      <vt:variant>
        <vt:i4>0</vt:i4>
      </vt:variant>
      <vt:variant>
        <vt:i4>5</vt:i4>
      </vt:variant>
      <vt:variant>
        <vt:lpwstr>http://www.wfme.org/</vt:lpwstr>
      </vt:variant>
      <vt:variant>
        <vt:lpwstr/>
      </vt:variant>
      <vt:variant>
        <vt:i4>8257578</vt:i4>
      </vt:variant>
      <vt:variant>
        <vt:i4>6</vt:i4>
      </vt:variant>
      <vt:variant>
        <vt:i4>0</vt:i4>
      </vt:variant>
      <vt:variant>
        <vt:i4>5</vt:i4>
      </vt:variant>
      <vt:variant>
        <vt:lpwstr>http://www.faimer.org/resources/dora/index.html</vt:lpwstr>
      </vt:variant>
      <vt:variant>
        <vt:lpwstr/>
      </vt:variant>
      <vt:variant>
        <vt:i4>131158</vt:i4>
      </vt:variant>
      <vt:variant>
        <vt:i4>3</vt:i4>
      </vt:variant>
      <vt:variant>
        <vt:i4>0</vt:i4>
      </vt:variant>
      <vt:variant>
        <vt:i4>5</vt:i4>
      </vt:variant>
      <vt:variant>
        <vt:lpwstr>https://wfme.org/recognition/</vt:lpwstr>
      </vt:variant>
      <vt:variant>
        <vt:lpwstr/>
      </vt:variant>
      <vt:variant>
        <vt:i4>6291495</vt:i4>
      </vt:variant>
      <vt:variant>
        <vt:i4>0</vt:i4>
      </vt:variant>
      <vt:variant>
        <vt:i4>0</vt:i4>
      </vt:variant>
      <vt:variant>
        <vt:i4>5</vt:i4>
      </vt:variant>
      <vt:variant>
        <vt:lpwstr>mailto:http://wfme.org/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WFME</dc:creator>
  <cp:keywords/>
  <dc:description/>
  <cp:lastModifiedBy>Vicci Lewis</cp:lastModifiedBy>
  <cp:revision>4</cp:revision>
  <cp:lastPrinted>2023-04-05T17:12:00Z</cp:lastPrinted>
  <dcterms:created xsi:type="dcterms:W3CDTF">2025-01-15T16:07:00Z</dcterms:created>
  <dcterms:modified xsi:type="dcterms:W3CDTF">2025-01-16T14:43:00Z</dcterms:modified>
</cp:coreProperties>
</file>